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88" w:rsidRPr="00856A44" w:rsidRDefault="00737C04" w:rsidP="00856A44">
      <w:pPr>
        <w:spacing w:after="0" w:line="240" w:lineRule="auto"/>
        <w:jc w:val="center"/>
      </w:pPr>
      <w:r w:rsidRPr="00856A44">
        <w:rPr>
          <w:noProof/>
          <w:lang w:val="en-US"/>
        </w:rPr>
        <w:drawing>
          <wp:inline distT="0" distB="0" distL="0" distR="0" wp14:anchorId="7457D494" wp14:editId="68833377">
            <wp:extent cx="3048000" cy="107442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95" cy="107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04" w:rsidRPr="00856A44" w:rsidRDefault="00F02F4B" w:rsidP="00856A44">
      <w:pPr>
        <w:spacing w:after="0" w:line="240" w:lineRule="auto"/>
        <w:jc w:val="center"/>
      </w:pPr>
      <w:r w:rsidRPr="00856A44">
        <w:t xml:space="preserve">Informe de Transición 2016: Departamento de la Vivienda </w:t>
      </w:r>
    </w:p>
    <w:p w:rsidR="00F02F4B" w:rsidRPr="00856A44" w:rsidRDefault="00F02F4B" w:rsidP="00856A44">
      <w:pPr>
        <w:spacing w:after="0" w:line="240" w:lineRule="auto"/>
        <w:jc w:val="center"/>
      </w:pPr>
      <w:r w:rsidRPr="00856A44">
        <w:t xml:space="preserve">Ponencia del </w:t>
      </w:r>
      <w:r w:rsidR="00456038" w:rsidRPr="00856A44">
        <w:t>Secretario</w:t>
      </w:r>
      <w:bookmarkStart w:id="0" w:name="_GoBack"/>
      <w:bookmarkEnd w:id="0"/>
      <w:r w:rsidRPr="00856A44">
        <w:t xml:space="preserve"> de la Vivienda, Arq. Alberto Lastra </w:t>
      </w:r>
      <w:proofErr w:type="spellStart"/>
      <w:r w:rsidRPr="00856A44">
        <w:t>Power</w:t>
      </w:r>
      <w:proofErr w:type="spellEnd"/>
    </w:p>
    <w:p w:rsidR="00737C04" w:rsidRPr="00856A44" w:rsidRDefault="00737C04" w:rsidP="00856A44">
      <w:pPr>
        <w:spacing w:after="0" w:line="240" w:lineRule="auto"/>
        <w:jc w:val="center"/>
      </w:pPr>
    </w:p>
    <w:p w:rsidR="008A12C2" w:rsidRPr="00856A44" w:rsidRDefault="008A12C2" w:rsidP="00856A44">
      <w:pPr>
        <w:spacing w:after="0" w:line="240" w:lineRule="auto"/>
        <w:jc w:val="both"/>
      </w:pPr>
      <w:r w:rsidRPr="00856A44">
        <w:t>El Departamento de la Vivienda</w:t>
      </w:r>
      <w:r w:rsidR="00EA2B40">
        <w:t xml:space="preserve"> (en adelante, Departamento o DV)</w:t>
      </w:r>
      <w:r w:rsidRPr="00856A44">
        <w:t xml:space="preserve"> es </w:t>
      </w:r>
      <w:r w:rsidR="00F02F4B" w:rsidRPr="00856A44">
        <w:t xml:space="preserve">la agencia </w:t>
      </w:r>
      <w:r w:rsidRPr="00856A44">
        <w:t xml:space="preserve">responsable de elaborar </w:t>
      </w:r>
      <w:r w:rsidR="00F02F4B" w:rsidRPr="00856A44">
        <w:t xml:space="preserve">e implantar </w:t>
      </w:r>
      <w:r w:rsidRPr="00856A44">
        <w:t xml:space="preserve">la política pública de la vivienda y el desarrollo comunal del Estado Libre Asociado de Puerto Rico y de </w:t>
      </w:r>
      <w:r w:rsidR="007A7F40" w:rsidRPr="00856A44">
        <w:t xml:space="preserve">supervisar la administración de </w:t>
      </w:r>
      <w:r w:rsidRPr="00856A44">
        <w:t xml:space="preserve">programas de gobierno </w:t>
      </w:r>
      <w:r w:rsidR="007A7F40" w:rsidRPr="00856A44">
        <w:t>relacionados</w:t>
      </w:r>
      <w:r w:rsidRPr="00856A44">
        <w:t>.</w:t>
      </w:r>
      <w:r w:rsidR="00856A44">
        <w:t xml:space="preserve"> </w:t>
      </w:r>
      <w:r w:rsidR="007A7F40" w:rsidRPr="00856A44">
        <w:t>Algunas de las funciones del Departamento son:</w:t>
      </w:r>
    </w:p>
    <w:p w:rsidR="00A05090" w:rsidRPr="00856A44" w:rsidRDefault="008A12C2" w:rsidP="00856A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56A44">
        <w:rPr>
          <w:rFonts w:ascii="Arial" w:hAnsi="Arial" w:cs="Arial"/>
        </w:rPr>
        <w:t>Planificar, todos los esfuerzos del gobierno dirigidos al desarrollo de la vivienda y desarrollo comunal</w:t>
      </w:r>
      <w:r w:rsidR="003132B7">
        <w:rPr>
          <w:rFonts w:ascii="Arial" w:hAnsi="Arial" w:cs="Arial"/>
        </w:rPr>
        <w:t>;</w:t>
      </w:r>
    </w:p>
    <w:p w:rsidR="008A12C2" w:rsidRPr="00856A44" w:rsidRDefault="008A12C2" w:rsidP="00856A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56A44">
        <w:rPr>
          <w:rFonts w:ascii="Arial" w:hAnsi="Arial" w:cs="Arial"/>
        </w:rPr>
        <w:t>Dirigir y supervisar todas las actividades gubernamentales relacionadas con el desarrollo, financiamiento y administración de programas de viviendas de interés social y de proyectos de renovación urbana o rehabilitación en su sitio</w:t>
      </w:r>
      <w:r w:rsidR="000C6234">
        <w:rPr>
          <w:rFonts w:ascii="Arial" w:hAnsi="Arial" w:cs="Arial"/>
        </w:rPr>
        <w:t>;</w:t>
      </w:r>
    </w:p>
    <w:p w:rsidR="008A12C2" w:rsidRPr="000C6234" w:rsidRDefault="008A12C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C6234">
        <w:rPr>
          <w:rFonts w:ascii="Arial" w:hAnsi="Arial" w:cs="Arial"/>
        </w:rPr>
        <w:t>Realizar actividades y programas para mejorar las condiciones de vida de las comunidades de vivienda</w:t>
      </w:r>
      <w:r w:rsidR="000C6234">
        <w:rPr>
          <w:rFonts w:ascii="Arial" w:hAnsi="Arial" w:cs="Arial"/>
        </w:rPr>
        <w:t>;</w:t>
      </w:r>
    </w:p>
    <w:p w:rsidR="005314F9" w:rsidRPr="00856A44" w:rsidRDefault="008A12C2" w:rsidP="00856A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56A44">
        <w:rPr>
          <w:rFonts w:ascii="Arial" w:hAnsi="Arial" w:cs="Arial"/>
        </w:rPr>
        <w:t>Promover la participación de entidades privadas en el desarrollo de la vivienda de interés social y en el desarrollo comunal.</w:t>
      </w:r>
    </w:p>
    <w:p w:rsidR="00440327" w:rsidRDefault="00440327" w:rsidP="00856A44">
      <w:pPr>
        <w:pStyle w:val="NoSpacing"/>
        <w:jc w:val="both"/>
        <w:rPr>
          <w:rFonts w:ascii="Arial" w:eastAsia="MS Mincho" w:hAnsi="Arial" w:cs="Arial"/>
          <w:sz w:val="24"/>
          <w:szCs w:val="24"/>
        </w:rPr>
      </w:pPr>
    </w:p>
    <w:p w:rsidR="002F2F30" w:rsidRPr="00856A44" w:rsidRDefault="007A7F40" w:rsidP="00856A44">
      <w:pPr>
        <w:pStyle w:val="NoSpacing"/>
        <w:jc w:val="both"/>
        <w:rPr>
          <w:rFonts w:ascii="Arial" w:eastAsia="MS Mincho" w:hAnsi="Arial" w:cs="Arial"/>
          <w:sz w:val="24"/>
          <w:szCs w:val="24"/>
        </w:rPr>
      </w:pPr>
      <w:r w:rsidRPr="00856A44">
        <w:rPr>
          <w:rFonts w:ascii="Arial" w:eastAsia="MS Mincho" w:hAnsi="Arial" w:cs="Arial"/>
          <w:sz w:val="24"/>
          <w:szCs w:val="24"/>
        </w:rPr>
        <w:t xml:space="preserve">Nuestra gestión en el </w:t>
      </w:r>
      <w:r w:rsidR="00EA2B40">
        <w:rPr>
          <w:rFonts w:ascii="Arial" w:eastAsia="MS Mincho" w:hAnsi="Arial" w:cs="Arial"/>
          <w:sz w:val="24"/>
          <w:szCs w:val="24"/>
        </w:rPr>
        <w:t>DV</w:t>
      </w:r>
      <w:r w:rsidRPr="00856A44">
        <w:rPr>
          <w:rFonts w:ascii="Arial" w:eastAsia="MS Mincho" w:hAnsi="Arial" w:cs="Arial"/>
          <w:sz w:val="24"/>
          <w:szCs w:val="24"/>
        </w:rPr>
        <w:t xml:space="preserve"> comenzó en junio de 2014. Desde la Secretaría</w:t>
      </w:r>
      <w:r w:rsidR="005F5D24" w:rsidRPr="00856A44">
        <w:rPr>
          <w:rFonts w:ascii="Arial" w:eastAsia="MS Mincho" w:hAnsi="Arial" w:cs="Arial"/>
          <w:sz w:val="24"/>
          <w:szCs w:val="24"/>
        </w:rPr>
        <w:t>,</w:t>
      </w:r>
      <w:r w:rsidRPr="00856A44">
        <w:rPr>
          <w:rFonts w:ascii="Arial" w:eastAsia="MS Mincho" w:hAnsi="Arial" w:cs="Arial"/>
          <w:sz w:val="24"/>
          <w:szCs w:val="24"/>
        </w:rPr>
        <w:t xml:space="preserve"> hemos procurado coordinar las gestiones del Departamento, la Administración de Vivienda Pública y la Autoridad para el Financiamiento de la Vivienda</w:t>
      </w:r>
      <w:r w:rsidR="005F5D24" w:rsidRPr="00856A44">
        <w:rPr>
          <w:rFonts w:ascii="Arial" w:eastAsia="MS Mincho" w:hAnsi="Arial" w:cs="Arial"/>
          <w:sz w:val="24"/>
          <w:szCs w:val="24"/>
        </w:rPr>
        <w:t>,</w:t>
      </w:r>
      <w:r w:rsidRPr="00856A44">
        <w:rPr>
          <w:rFonts w:ascii="Arial" w:eastAsia="MS Mincho" w:hAnsi="Arial" w:cs="Arial"/>
          <w:sz w:val="24"/>
          <w:szCs w:val="24"/>
        </w:rPr>
        <w:t xml:space="preserve"> de manera que las tres agencias sigan una misma hoja de ruta.</w:t>
      </w:r>
      <w:r w:rsidR="00856A44">
        <w:rPr>
          <w:rFonts w:ascii="Arial" w:eastAsia="MS Mincho" w:hAnsi="Arial" w:cs="Arial"/>
          <w:sz w:val="24"/>
          <w:szCs w:val="24"/>
        </w:rPr>
        <w:t xml:space="preserve"> </w:t>
      </w:r>
      <w:r w:rsidR="005F5D24" w:rsidRPr="00856A44">
        <w:rPr>
          <w:rFonts w:ascii="Arial" w:eastAsia="MS Mincho" w:hAnsi="Arial" w:cs="Arial"/>
          <w:sz w:val="24"/>
          <w:szCs w:val="24"/>
        </w:rPr>
        <w:t>Además, n</w:t>
      </w:r>
      <w:r w:rsidRPr="00856A44">
        <w:rPr>
          <w:rFonts w:ascii="Arial" w:eastAsia="MS Mincho" w:hAnsi="Arial" w:cs="Arial"/>
          <w:sz w:val="24"/>
          <w:szCs w:val="24"/>
        </w:rPr>
        <w:t>os hemos enfocado en la implantación del Plan Estatal de Vivienda</w:t>
      </w:r>
      <w:r w:rsidR="005F5D24" w:rsidRPr="00856A44">
        <w:rPr>
          <w:rFonts w:ascii="Arial" w:eastAsia="MS Mincho" w:hAnsi="Arial" w:cs="Arial"/>
          <w:sz w:val="24"/>
          <w:szCs w:val="24"/>
        </w:rPr>
        <w:t xml:space="preserve"> (SHP, por sus siglas en inglés)</w:t>
      </w:r>
      <w:r w:rsidRPr="00856A44">
        <w:rPr>
          <w:rFonts w:ascii="Arial" w:eastAsia="MS Mincho" w:hAnsi="Arial" w:cs="Arial"/>
          <w:sz w:val="24"/>
          <w:szCs w:val="24"/>
        </w:rPr>
        <w:t xml:space="preserve">, </w:t>
      </w:r>
      <w:r w:rsidR="005F5D24" w:rsidRPr="00856A44">
        <w:rPr>
          <w:rFonts w:ascii="Arial" w:eastAsia="MS Mincho" w:hAnsi="Arial" w:cs="Arial"/>
          <w:sz w:val="24"/>
          <w:szCs w:val="24"/>
        </w:rPr>
        <w:t>que</w:t>
      </w:r>
      <w:r w:rsidRPr="00856A44">
        <w:rPr>
          <w:rFonts w:ascii="Arial" w:eastAsia="MS Mincho" w:hAnsi="Arial" w:cs="Arial"/>
          <w:sz w:val="24"/>
          <w:szCs w:val="24"/>
        </w:rPr>
        <w:t xml:space="preserve"> fue propuesto en 2011, a través de un acuerdo de entendimiento con el Departamento de Vivienda y Desarrollo Urbano de los Estados Unidos (HUD, por sus siglas en inglés).</w:t>
      </w:r>
      <w:r w:rsidR="00440327">
        <w:rPr>
          <w:rFonts w:ascii="Arial" w:eastAsia="MS Mincho" w:hAnsi="Arial" w:cs="Arial"/>
          <w:sz w:val="24"/>
          <w:szCs w:val="24"/>
        </w:rPr>
        <w:t xml:space="preserve"> 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El SHP dicta una fórmula </w:t>
      </w:r>
      <w:r w:rsidR="00440327">
        <w:rPr>
          <w:rFonts w:ascii="Arial" w:eastAsia="MS Mincho" w:hAnsi="Arial" w:cs="Arial"/>
          <w:sz w:val="24"/>
          <w:szCs w:val="24"/>
        </w:rPr>
        <w:t>efectiva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para desarrollar vivienda en una isla en la que los recursos de tierra y fondos son limitados</w:t>
      </w:r>
      <w:r w:rsidR="005F5D24" w:rsidRPr="00856A44">
        <w:rPr>
          <w:rFonts w:ascii="Arial" w:eastAsia="MS Mincho" w:hAnsi="Arial" w:cs="Arial"/>
          <w:sz w:val="24"/>
          <w:szCs w:val="24"/>
        </w:rPr>
        <w:t>,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y nos proveyó una hoja de ruta concisa y realista para descargar nuestra responsabilidad ordenadamente. </w:t>
      </w:r>
    </w:p>
    <w:p w:rsidR="007A7F40" w:rsidRPr="00856A44" w:rsidRDefault="007A7F40" w:rsidP="00856A44">
      <w:pPr>
        <w:pStyle w:val="NoSpacing"/>
        <w:jc w:val="both"/>
        <w:rPr>
          <w:rFonts w:ascii="Arial" w:eastAsia="MS Mincho" w:hAnsi="Arial" w:cs="Arial"/>
          <w:sz w:val="24"/>
          <w:szCs w:val="24"/>
        </w:rPr>
      </w:pPr>
    </w:p>
    <w:p w:rsidR="002F2F30" w:rsidRPr="00856A44" w:rsidRDefault="002F2F30" w:rsidP="00856A44">
      <w:pPr>
        <w:pStyle w:val="NoSpacing"/>
        <w:jc w:val="both"/>
        <w:rPr>
          <w:rFonts w:ascii="Arial" w:eastAsia="MS Mincho" w:hAnsi="Arial" w:cs="Arial"/>
          <w:sz w:val="24"/>
          <w:szCs w:val="24"/>
        </w:rPr>
      </w:pPr>
      <w:r w:rsidRPr="00856A44">
        <w:rPr>
          <w:rFonts w:ascii="Arial" w:eastAsia="MS Mincho" w:hAnsi="Arial" w:cs="Arial"/>
          <w:sz w:val="24"/>
          <w:szCs w:val="24"/>
        </w:rPr>
        <w:t>Resaltamos entre nuestros más prominentes logros</w:t>
      </w:r>
      <w:r w:rsidR="005F5D24" w:rsidRPr="00856A44">
        <w:rPr>
          <w:rFonts w:ascii="Arial" w:eastAsia="MS Mincho" w:hAnsi="Arial" w:cs="Arial"/>
          <w:sz w:val="24"/>
          <w:szCs w:val="24"/>
        </w:rPr>
        <w:t xml:space="preserve"> los siguientes</w:t>
      </w:r>
      <w:r w:rsidRPr="00856A44">
        <w:rPr>
          <w:rFonts w:ascii="Arial" w:eastAsia="MS Mincho" w:hAnsi="Arial" w:cs="Arial"/>
          <w:sz w:val="24"/>
          <w:szCs w:val="24"/>
        </w:rPr>
        <w:t xml:space="preserve">: </w:t>
      </w:r>
    </w:p>
    <w:p w:rsidR="002F2F30" w:rsidRPr="00856A44" w:rsidRDefault="002F2F30" w:rsidP="00856A44">
      <w:pPr>
        <w:pStyle w:val="NoSpacing"/>
        <w:jc w:val="both"/>
        <w:rPr>
          <w:rFonts w:ascii="Arial" w:eastAsia="MS Mincho" w:hAnsi="Arial" w:cs="Arial"/>
          <w:sz w:val="24"/>
          <w:szCs w:val="24"/>
        </w:rPr>
      </w:pPr>
    </w:p>
    <w:p w:rsidR="00963B70" w:rsidRPr="00287ADB" w:rsidRDefault="000C6234" w:rsidP="00287ADB">
      <w:pPr>
        <w:pStyle w:val="NoSpacing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i/>
          <w:sz w:val="24"/>
          <w:szCs w:val="24"/>
        </w:rPr>
        <w:t xml:space="preserve">1) </w:t>
      </w:r>
      <w:proofErr w:type="spellStart"/>
      <w:r w:rsidR="002F2F30" w:rsidRPr="00856A44">
        <w:rPr>
          <w:rFonts w:ascii="Arial" w:eastAsia="MS Mincho" w:hAnsi="Arial" w:cs="Arial"/>
          <w:b/>
          <w:i/>
          <w:sz w:val="24"/>
          <w:szCs w:val="24"/>
        </w:rPr>
        <w:t>Joint</w:t>
      </w:r>
      <w:proofErr w:type="spellEnd"/>
      <w:r w:rsidR="002F2F30" w:rsidRPr="00856A44">
        <w:rPr>
          <w:rFonts w:ascii="Arial" w:eastAsia="MS Mincho" w:hAnsi="Arial" w:cs="Arial"/>
          <w:b/>
          <w:i/>
          <w:sz w:val="24"/>
          <w:szCs w:val="24"/>
        </w:rPr>
        <w:t xml:space="preserve"> Agency </w:t>
      </w:r>
      <w:proofErr w:type="spellStart"/>
      <w:r w:rsidR="002F2F30" w:rsidRPr="00856A44">
        <w:rPr>
          <w:rFonts w:ascii="Arial" w:eastAsia="MS Mincho" w:hAnsi="Arial" w:cs="Arial"/>
          <w:b/>
          <w:i/>
          <w:sz w:val="24"/>
          <w:szCs w:val="24"/>
        </w:rPr>
        <w:t>Notification</w:t>
      </w:r>
      <w:proofErr w:type="spellEnd"/>
      <w:r w:rsidR="002F2F30" w:rsidRPr="00856A44">
        <w:rPr>
          <w:rFonts w:ascii="Arial" w:eastAsia="MS Mincho" w:hAnsi="Arial" w:cs="Arial"/>
          <w:b/>
          <w:i/>
          <w:sz w:val="24"/>
          <w:szCs w:val="24"/>
        </w:rPr>
        <w:t xml:space="preserve"> of </w:t>
      </w:r>
      <w:proofErr w:type="spellStart"/>
      <w:r w:rsidR="002F2F30" w:rsidRPr="00856A44">
        <w:rPr>
          <w:rFonts w:ascii="Arial" w:eastAsia="MS Mincho" w:hAnsi="Arial" w:cs="Arial"/>
          <w:b/>
          <w:i/>
          <w:sz w:val="24"/>
          <w:szCs w:val="24"/>
        </w:rPr>
        <w:t>Funds</w:t>
      </w:r>
      <w:proofErr w:type="spellEnd"/>
      <w:r w:rsidR="002F2F30" w:rsidRPr="00856A44">
        <w:rPr>
          <w:rFonts w:ascii="Arial" w:eastAsia="MS Mincho" w:hAnsi="Arial" w:cs="Arial"/>
          <w:b/>
          <w:i/>
          <w:sz w:val="24"/>
          <w:szCs w:val="24"/>
        </w:rPr>
        <w:t xml:space="preserve"> </w:t>
      </w:r>
      <w:proofErr w:type="spellStart"/>
      <w:r w:rsidR="002F2F30" w:rsidRPr="00856A44">
        <w:rPr>
          <w:rFonts w:ascii="Arial" w:eastAsia="MS Mincho" w:hAnsi="Arial" w:cs="Arial"/>
          <w:b/>
          <w:i/>
          <w:sz w:val="24"/>
          <w:szCs w:val="24"/>
        </w:rPr>
        <w:t>Available</w:t>
      </w:r>
      <w:proofErr w:type="spellEnd"/>
      <w:r w:rsidR="002F2F30" w:rsidRPr="00856A44">
        <w:rPr>
          <w:rFonts w:ascii="Arial" w:eastAsia="MS Mincho" w:hAnsi="Arial" w:cs="Arial"/>
          <w:b/>
          <w:sz w:val="24"/>
          <w:szCs w:val="24"/>
        </w:rPr>
        <w:t xml:space="preserve"> (JANOFA):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En 2015</w:t>
      </w:r>
      <w:r w:rsidR="005F5D24" w:rsidRPr="00856A44">
        <w:rPr>
          <w:rFonts w:ascii="Arial" w:eastAsia="MS Mincho" w:hAnsi="Arial" w:cs="Arial"/>
          <w:sz w:val="24"/>
          <w:szCs w:val="24"/>
        </w:rPr>
        <w:t>,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logramos </w:t>
      </w:r>
      <w:r w:rsidR="005F5D24" w:rsidRPr="00856A44">
        <w:rPr>
          <w:rFonts w:ascii="Arial" w:eastAsia="MS Mincho" w:hAnsi="Arial" w:cs="Arial"/>
          <w:sz w:val="24"/>
          <w:szCs w:val="24"/>
        </w:rPr>
        <w:t>la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</w:t>
      </w:r>
      <w:r w:rsidR="005F5D24" w:rsidRPr="00856A44">
        <w:rPr>
          <w:rFonts w:ascii="Arial" w:eastAsia="MS Mincho" w:hAnsi="Arial" w:cs="Arial"/>
          <w:sz w:val="24"/>
          <w:szCs w:val="24"/>
        </w:rPr>
        <w:t>unificación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</w:t>
      </w:r>
      <w:r w:rsidR="005F5D24" w:rsidRPr="00856A44">
        <w:rPr>
          <w:rFonts w:ascii="Arial" w:eastAsia="MS Mincho" w:hAnsi="Arial" w:cs="Arial"/>
          <w:sz w:val="24"/>
          <w:szCs w:val="24"/>
        </w:rPr>
        <w:t xml:space="preserve">en una sola solicitud y un solo proceso 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de todos los programas federales disponibles para alentar e incentivar la vivienda de interés social: </w:t>
      </w:r>
      <w:proofErr w:type="spellStart"/>
      <w:r w:rsidR="002F2F30" w:rsidRPr="00856A44">
        <w:rPr>
          <w:rFonts w:ascii="Arial" w:eastAsia="MS Mincho" w:hAnsi="Arial" w:cs="Arial"/>
          <w:i/>
          <w:sz w:val="24"/>
          <w:szCs w:val="24"/>
        </w:rPr>
        <w:t>Low</w:t>
      </w:r>
      <w:proofErr w:type="spellEnd"/>
      <w:r w:rsidR="002F2F30" w:rsidRPr="00856A44">
        <w:rPr>
          <w:rFonts w:ascii="Arial" w:eastAsia="MS Mincho" w:hAnsi="Arial" w:cs="Arial"/>
          <w:i/>
          <w:sz w:val="24"/>
          <w:szCs w:val="24"/>
        </w:rPr>
        <w:t xml:space="preserve"> </w:t>
      </w:r>
      <w:proofErr w:type="spellStart"/>
      <w:r w:rsidR="002F2F30" w:rsidRPr="00856A44">
        <w:rPr>
          <w:rFonts w:ascii="Arial" w:eastAsia="MS Mincho" w:hAnsi="Arial" w:cs="Arial"/>
          <w:i/>
          <w:sz w:val="24"/>
          <w:szCs w:val="24"/>
        </w:rPr>
        <w:t>Income</w:t>
      </w:r>
      <w:proofErr w:type="spellEnd"/>
      <w:r w:rsidR="002F2F30" w:rsidRPr="00856A44">
        <w:rPr>
          <w:rFonts w:ascii="Arial" w:eastAsia="MS Mincho" w:hAnsi="Arial" w:cs="Arial"/>
          <w:i/>
          <w:sz w:val="24"/>
          <w:szCs w:val="24"/>
        </w:rPr>
        <w:t xml:space="preserve"> </w:t>
      </w:r>
      <w:proofErr w:type="spellStart"/>
      <w:r w:rsidR="002F2F30" w:rsidRPr="00856A44">
        <w:rPr>
          <w:rFonts w:ascii="Arial" w:eastAsia="MS Mincho" w:hAnsi="Arial" w:cs="Arial"/>
          <w:i/>
          <w:sz w:val="24"/>
          <w:szCs w:val="24"/>
        </w:rPr>
        <w:t>Housing</w:t>
      </w:r>
      <w:proofErr w:type="spellEnd"/>
      <w:r w:rsidR="002F2F30" w:rsidRPr="00856A44">
        <w:rPr>
          <w:rFonts w:ascii="Arial" w:eastAsia="MS Mincho" w:hAnsi="Arial" w:cs="Arial"/>
          <w:i/>
          <w:sz w:val="24"/>
          <w:szCs w:val="24"/>
        </w:rPr>
        <w:t xml:space="preserve"> </w:t>
      </w:r>
      <w:proofErr w:type="spellStart"/>
      <w:r w:rsidR="002F2F30" w:rsidRPr="00856A44">
        <w:rPr>
          <w:rFonts w:ascii="Arial" w:eastAsia="MS Mincho" w:hAnsi="Arial" w:cs="Arial"/>
          <w:i/>
          <w:sz w:val="24"/>
          <w:szCs w:val="24"/>
        </w:rPr>
        <w:t>Tax</w:t>
      </w:r>
      <w:proofErr w:type="spellEnd"/>
      <w:r w:rsidR="002F2F30" w:rsidRPr="00856A44">
        <w:rPr>
          <w:rFonts w:ascii="Arial" w:eastAsia="MS Mincho" w:hAnsi="Arial" w:cs="Arial"/>
          <w:i/>
          <w:sz w:val="24"/>
          <w:szCs w:val="24"/>
        </w:rPr>
        <w:t xml:space="preserve"> </w:t>
      </w:r>
      <w:proofErr w:type="spellStart"/>
      <w:r w:rsidR="002F2F30" w:rsidRPr="00856A44">
        <w:rPr>
          <w:rFonts w:ascii="Arial" w:eastAsia="MS Mincho" w:hAnsi="Arial" w:cs="Arial"/>
          <w:i/>
          <w:sz w:val="24"/>
          <w:szCs w:val="24"/>
        </w:rPr>
        <w:t>Credits</w:t>
      </w:r>
      <w:proofErr w:type="spellEnd"/>
      <w:r w:rsidR="005F5D24" w:rsidRPr="00856A44">
        <w:rPr>
          <w:rFonts w:ascii="Arial" w:eastAsia="MS Mincho" w:hAnsi="Arial" w:cs="Arial"/>
          <w:sz w:val="24"/>
          <w:szCs w:val="24"/>
        </w:rPr>
        <w:t xml:space="preserve"> (LIHTC)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, HOME y </w:t>
      </w:r>
      <w:r w:rsidR="002F2F30" w:rsidRPr="00856A44">
        <w:rPr>
          <w:rFonts w:ascii="Arial" w:eastAsia="MS Mincho" w:hAnsi="Arial" w:cs="Arial"/>
          <w:i/>
          <w:sz w:val="24"/>
          <w:szCs w:val="24"/>
        </w:rPr>
        <w:t xml:space="preserve">Project </w:t>
      </w:r>
      <w:proofErr w:type="spellStart"/>
      <w:r w:rsidR="002F2F30" w:rsidRPr="00856A44">
        <w:rPr>
          <w:rFonts w:ascii="Arial" w:eastAsia="MS Mincho" w:hAnsi="Arial" w:cs="Arial"/>
          <w:i/>
          <w:sz w:val="24"/>
          <w:szCs w:val="24"/>
        </w:rPr>
        <w:t>Based</w:t>
      </w:r>
      <w:proofErr w:type="spellEnd"/>
      <w:r w:rsidR="002F2F30" w:rsidRPr="00856A44">
        <w:rPr>
          <w:rFonts w:ascii="Arial" w:eastAsia="MS Mincho" w:hAnsi="Arial" w:cs="Arial"/>
          <w:i/>
          <w:sz w:val="24"/>
          <w:szCs w:val="24"/>
        </w:rPr>
        <w:t xml:space="preserve"> </w:t>
      </w:r>
      <w:proofErr w:type="spellStart"/>
      <w:r w:rsidR="002F2F30" w:rsidRPr="00856A44">
        <w:rPr>
          <w:rFonts w:ascii="Arial" w:eastAsia="MS Mincho" w:hAnsi="Arial" w:cs="Arial"/>
          <w:i/>
          <w:sz w:val="24"/>
          <w:szCs w:val="24"/>
        </w:rPr>
        <w:t>Vou</w:t>
      </w:r>
      <w:r w:rsidR="005F5D24" w:rsidRPr="00856A44">
        <w:rPr>
          <w:rFonts w:ascii="Arial" w:eastAsia="MS Mincho" w:hAnsi="Arial" w:cs="Arial"/>
          <w:i/>
          <w:sz w:val="24"/>
          <w:szCs w:val="24"/>
        </w:rPr>
        <w:t>c</w:t>
      </w:r>
      <w:r w:rsidR="002F2F30" w:rsidRPr="00856A44">
        <w:rPr>
          <w:rFonts w:ascii="Arial" w:eastAsia="MS Mincho" w:hAnsi="Arial" w:cs="Arial"/>
          <w:i/>
          <w:sz w:val="24"/>
          <w:szCs w:val="24"/>
        </w:rPr>
        <w:t>hers</w:t>
      </w:r>
      <w:proofErr w:type="spellEnd"/>
      <w:r w:rsidR="002F2F30" w:rsidRPr="00856A44">
        <w:rPr>
          <w:rFonts w:ascii="Arial" w:eastAsia="MS Mincho" w:hAnsi="Arial" w:cs="Arial"/>
          <w:sz w:val="24"/>
          <w:szCs w:val="24"/>
        </w:rPr>
        <w:t xml:space="preserve">. Esta era una de las metas más </w:t>
      </w:r>
      <w:r w:rsidR="005F5D24" w:rsidRPr="00856A44">
        <w:rPr>
          <w:rFonts w:ascii="Arial" w:eastAsia="MS Mincho" w:hAnsi="Arial" w:cs="Arial"/>
          <w:sz w:val="24"/>
          <w:szCs w:val="24"/>
        </w:rPr>
        <w:t>ambiciosas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del </w:t>
      </w:r>
      <w:r w:rsidR="005F5D24" w:rsidRPr="00856A44">
        <w:rPr>
          <w:rFonts w:ascii="Arial" w:eastAsia="MS Mincho" w:hAnsi="Arial" w:cs="Arial"/>
          <w:sz w:val="24"/>
          <w:szCs w:val="24"/>
        </w:rPr>
        <w:t>SHP,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ya que</w:t>
      </w:r>
      <w:r w:rsidR="005F5D24" w:rsidRPr="00856A44">
        <w:rPr>
          <w:rFonts w:ascii="Arial" w:eastAsia="MS Mincho" w:hAnsi="Arial" w:cs="Arial"/>
          <w:sz w:val="24"/>
          <w:szCs w:val="24"/>
        </w:rPr>
        <w:t>,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</w:t>
      </w:r>
      <w:r w:rsidR="005F5D24" w:rsidRPr="00856A44">
        <w:rPr>
          <w:rFonts w:ascii="Arial" w:eastAsia="MS Mincho" w:hAnsi="Arial" w:cs="Arial"/>
          <w:sz w:val="24"/>
          <w:szCs w:val="24"/>
        </w:rPr>
        <w:t>además de unificar los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procesos</w:t>
      </w:r>
      <w:r w:rsidR="005F5D24" w:rsidRPr="00856A44">
        <w:rPr>
          <w:rFonts w:ascii="Arial" w:eastAsia="MS Mincho" w:hAnsi="Arial" w:cs="Arial"/>
          <w:sz w:val="24"/>
          <w:szCs w:val="24"/>
        </w:rPr>
        <w:t>,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integró las metas de desarrollo urbano contenidas en el </w:t>
      </w:r>
      <w:r w:rsidR="005F5D24" w:rsidRPr="00856A44">
        <w:rPr>
          <w:rFonts w:ascii="Arial" w:eastAsia="MS Mincho" w:hAnsi="Arial" w:cs="Arial"/>
          <w:sz w:val="24"/>
          <w:szCs w:val="24"/>
        </w:rPr>
        <w:t>Plan</w:t>
      </w:r>
      <w:r w:rsidR="002F2F30" w:rsidRPr="00856A44">
        <w:rPr>
          <w:rFonts w:ascii="Arial" w:eastAsia="MS Mincho" w:hAnsi="Arial" w:cs="Arial"/>
          <w:sz w:val="24"/>
          <w:szCs w:val="24"/>
        </w:rPr>
        <w:t>: que la vivienda que incentivemos se construya en las zonas urbanas y de manera prioritaria en propiedad gubernamental. Además, colocamos especial atención en la provisión de vivienda para grupos especiales, en particular las personas en la tercera edad. A través de este proceso</w:t>
      </w:r>
      <w:r w:rsidR="005F5D24" w:rsidRPr="00856A44">
        <w:rPr>
          <w:rFonts w:ascii="Arial" w:eastAsia="MS Mincho" w:hAnsi="Arial" w:cs="Arial"/>
          <w:sz w:val="24"/>
          <w:szCs w:val="24"/>
        </w:rPr>
        <w:t>,</w:t>
      </w:r>
      <w:r w:rsidR="002F2F30" w:rsidRPr="00856A44">
        <w:rPr>
          <w:rFonts w:ascii="Arial" w:eastAsia="MS Mincho" w:hAnsi="Arial" w:cs="Arial"/>
          <w:sz w:val="24"/>
          <w:szCs w:val="24"/>
        </w:rPr>
        <w:t xml:space="preserve"> logramos que durante el próximo año se inviertan $182 millones en el desarrollo de 971 unidades de vivienda asequible de alquiler.</w:t>
      </w:r>
    </w:p>
    <w:p w:rsidR="0084227D" w:rsidRPr="00856A44" w:rsidRDefault="0084227D" w:rsidP="00287ADB">
      <w:pPr>
        <w:pStyle w:val="NoSpacing"/>
        <w:jc w:val="both"/>
        <w:rPr>
          <w:rFonts w:ascii="Arial" w:eastAsia="MS Mincho" w:hAnsi="Arial" w:cs="Arial"/>
        </w:rPr>
      </w:pPr>
    </w:p>
    <w:p w:rsidR="00A51AED" w:rsidRPr="00287ADB" w:rsidRDefault="000C6234" w:rsidP="00287AD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2) </w:t>
      </w:r>
      <w:r w:rsidR="008C7241">
        <w:rPr>
          <w:rFonts w:ascii="Arial" w:eastAsia="MS Mincho" w:hAnsi="Arial" w:cs="Arial"/>
          <w:b/>
          <w:sz w:val="24"/>
          <w:szCs w:val="24"/>
        </w:rPr>
        <w:t xml:space="preserve">Ley 130-2016 y </w:t>
      </w:r>
      <w:r w:rsidR="0084227D" w:rsidRPr="00856A44">
        <w:rPr>
          <w:rFonts w:ascii="Arial" w:eastAsia="MS Mincho" w:hAnsi="Arial" w:cs="Arial"/>
          <w:b/>
          <w:sz w:val="24"/>
          <w:szCs w:val="24"/>
        </w:rPr>
        <w:t>Solicitud de Propuestas</w:t>
      </w:r>
      <w:r w:rsidR="008C7241">
        <w:rPr>
          <w:rFonts w:ascii="Arial" w:eastAsia="MS Mincho" w:hAnsi="Arial" w:cs="Arial"/>
          <w:b/>
          <w:sz w:val="24"/>
          <w:szCs w:val="24"/>
        </w:rPr>
        <w:t xml:space="preserve"> para desarrollo de vivienda asequible para alquiler</w:t>
      </w:r>
      <w:r w:rsidR="0084227D" w:rsidRPr="00856A44">
        <w:rPr>
          <w:rFonts w:ascii="Arial" w:eastAsia="MS Mincho" w:hAnsi="Arial" w:cs="Arial"/>
          <w:b/>
          <w:sz w:val="24"/>
          <w:szCs w:val="24"/>
        </w:rPr>
        <w:t>:</w:t>
      </w:r>
      <w:r w:rsidR="0084227D" w:rsidRPr="00856A44">
        <w:rPr>
          <w:rFonts w:ascii="Arial" w:eastAsia="MS Mincho" w:hAnsi="Arial" w:cs="Arial"/>
          <w:sz w:val="24"/>
          <w:szCs w:val="24"/>
        </w:rPr>
        <w:t xml:space="preserve"> </w:t>
      </w:r>
      <w:r w:rsidR="00A51AED">
        <w:rPr>
          <w:rFonts w:ascii="Arial" w:eastAsia="MS Mincho" w:hAnsi="Arial" w:cs="Arial"/>
          <w:sz w:val="24"/>
          <w:szCs w:val="24"/>
        </w:rPr>
        <w:t>En agosto del año en curso, el Gobernador firmó la Ley 130-2016, un proyecto impulsado por el DV desde 2015. Dicha Ley enmendó la Ley 73-</w:t>
      </w:r>
      <w:r w:rsidR="00A51AED">
        <w:rPr>
          <w:rFonts w:ascii="Arial" w:hAnsi="Arial" w:cs="Arial"/>
          <w:sz w:val="24"/>
          <w:szCs w:val="24"/>
        </w:rPr>
        <w:t xml:space="preserve">2008, según enmendada, conocida como “Ley de Incentivos Económicos para el Desarrollo de Puerto Rico”, para incorporar como “proyecto </w:t>
      </w:r>
      <w:r w:rsidR="00A51AED">
        <w:rPr>
          <w:rFonts w:ascii="Arial" w:hAnsi="Arial" w:cs="Arial"/>
          <w:sz w:val="24"/>
          <w:szCs w:val="24"/>
        </w:rPr>
        <w:lastRenderedPageBreak/>
        <w:t>estratégico” el desarrollo de “vivienda asequible de alquiler, servicios relacionados e infraestructuras en áreas adyacentes a sistemas de transportación en masa (“</w:t>
      </w:r>
      <w:proofErr w:type="spellStart"/>
      <w:r w:rsidR="00A51AED">
        <w:rPr>
          <w:rFonts w:ascii="Arial" w:hAnsi="Arial" w:cs="Arial"/>
          <w:i/>
          <w:sz w:val="24"/>
          <w:szCs w:val="24"/>
        </w:rPr>
        <w:t>transit-oriented</w:t>
      </w:r>
      <w:proofErr w:type="spellEnd"/>
      <w:r w:rsidR="00A51AE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51AED">
        <w:rPr>
          <w:rFonts w:ascii="Arial" w:hAnsi="Arial" w:cs="Arial"/>
          <w:i/>
          <w:sz w:val="24"/>
          <w:szCs w:val="24"/>
        </w:rPr>
        <w:t>developments</w:t>
      </w:r>
      <w:proofErr w:type="spellEnd"/>
      <w:r w:rsidR="00A51AED">
        <w:rPr>
          <w:rFonts w:ascii="Arial" w:hAnsi="Arial" w:cs="Arial"/>
          <w:sz w:val="24"/>
          <w:szCs w:val="24"/>
        </w:rPr>
        <w:t>”</w:t>
      </w:r>
      <w:r w:rsidR="00BE55B6">
        <w:rPr>
          <w:rFonts w:ascii="Arial" w:hAnsi="Arial" w:cs="Arial"/>
          <w:sz w:val="24"/>
          <w:szCs w:val="24"/>
        </w:rPr>
        <w:t xml:space="preserve"> [</w:t>
      </w:r>
      <w:r w:rsidR="00647448">
        <w:rPr>
          <w:rFonts w:ascii="Arial" w:hAnsi="Arial" w:cs="Arial"/>
          <w:sz w:val="24"/>
          <w:szCs w:val="24"/>
        </w:rPr>
        <w:t>TOD]</w:t>
      </w:r>
      <w:r w:rsidR="00A51AED">
        <w:rPr>
          <w:rFonts w:ascii="Arial" w:hAnsi="Arial" w:cs="Arial"/>
          <w:sz w:val="24"/>
          <w:szCs w:val="24"/>
        </w:rPr>
        <w:t xml:space="preserve">) o el Frente Portuario de la Isleta de San Juan”. </w:t>
      </w:r>
      <w:r w:rsidR="00963B70">
        <w:rPr>
          <w:rFonts w:ascii="Arial" w:hAnsi="Arial" w:cs="Arial"/>
          <w:sz w:val="24"/>
          <w:szCs w:val="24"/>
        </w:rPr>
        <w:t>El incentivo contributivo</w:t>
      </w:r>
      <w:r w:rsidR="00A51AED">
        <w:rPr>
          <w:rFonts w:ascii="Arial" w:hAnsi="Arial" w:cs="Arial"/>
          <w:sz w:val="24"/>
          <w:szCs w:val="24"/>
        </w:rPr>
        <w:t xml:space="preserve"> </w:t>
      </w:r>
      <w:r w:rsidR="00963B70">
        <w:rPr>
          <w:rFonts w:ascii="Arial" w:hAnsi="Arial" w:cs="Arial"/>
          <w:sz w:val="24"/>
          <w:szCs w:val="24"/>
        </w:rPr>
        <w:t>estatal creado por esta enmienda pudiera</w:t>
      </w:r>
      <w:r w:rsidR="00A51AED">
        <w:rPr>
          <w:rFonts w:ascii="Arial" w:hAnsi="Arial" w:cs="Arial"/>
          <w:sz w:val="24"/>
          <w:szCs w:val="24"/>
        </w:rPr>
        <w:t xml:space="preserve"> combinarse </w:t>
      </w:r>
      <w:r w:rsidR="00963B70" w:rsidRPr="00856A44">
        <w:rPr>
          <w:rFonts w:ascii="Arial" w:hAnsi="Arial" w:cs="Arial"/>
          <w:sz w:val="24"/>
          <w:szCs w:val="24"/>
        </w:rPr>
        <w:t>con otros 27 programas</w:t>
      </w:r>
      <w:r w:rsidR="00963B70">
        <w:rPr>
          <w:rFonts w:ascii="Arial" w:hAnsi="Arial" w:cs="Arial"/>
          <w:sz w:val="24"/>
          <w:szCs w:val="24"/>
        </w:rPr>
        <w:t>,</w:t>
      </w:r>
      <w:r w:rsidR="00963B70" w:rsidRPr="00856A44">
        <w:rPr>
          <w:rFonts w:ascii="Arial" w:hAnsi="Arial" w:cs="Arial"/>
          <w:sz w:val="24"/>
          <w:szCs w:val="24"/>
        </w:rPr>
        <w:t xml:space="preserve"> incluyendo </w:t>
      </w:r>
      <w:r w:rsidR="00963B70">
        <w:rPr>
          <w:rFonts w:ascii="Arial" w:hAnsi="Arial" w:cs="Arial"/>
          <w:sz w:val="24"/>
          <w:szCs w:val="24"/>
        </w:rPr>
        <w:t xml:space="preserve">los </w:t>
      </w:r>
      <w:r w:rsidR="00963B70" w:rsidRPr="00856A44">
        <w:rPr>
          <w:rFonts w:ascii="Arial" w:hAnsi="Arial" w:cs="Arial"/>
          <w:sz w:val="24"/>
          <w:szCs w:val="24"/>
        </w:rPr>
        <w:t>créditos contributivos federales establecidos por la Sección 42 del Código de Rentas Internas Federal.</w:t>
      </w:r>
    </w:p>
    <w:p w:rsidR="00963B70" w:rsidRDefault="00963B70" w:rsidP="00287ADB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963B70" w:rsidRDefault="00B312E9">
      <w:pPr>
        <w:pStyle w:val="NoSpacing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tono con esta iniciativa, el pasado 29 de septiembre, el Departamento publicó una Solicitud de Propuestas (RFP, por sus siglas en inglés)</w:t>
      </w:r>
      <w:r w:rsidR="00647448">
        <w:rPr>
          <w:rFonts w:ascii="Arial" w:hAnsi="Arial" w:cs="Arial"/>
          <w:sz w:val="24"/>
          <w:szCs w:val="24"/>
        </w:rPr>
        <w:t xml:space="preserve"> para el desarrollo de proyectos de vivienda de alquiler asequible en 22 terrenos del Gobierno en zonas adyacentes a sistemas de transporte colectivo o al Frente Marítimo de San Juan. El RFP identifica</w:t>
      </w:r>
      <w:r w:rsidR="00647448">
        <w:rPr>
          <w:rFonts w:ascii="Arial" w:eastAsia="MS Mincho" w:hAnsi="Arial" w:cs="Arial"/>
          <w:sz w:val="24"/>
          <w:szCs w:val="24"/>
        </w:rPr>
        <w:t xml:space="preserve"> alrededor de 167 cuerdas de terreno donde pudieran desarrollarse aproximadamente</w:t>
      </w:r>
      <w:r w:rsidRPr="00856A44">
        <w:rPr>
          <w:rFonts w:ascii="Arial" w:eastAsia="MS Mincho" w:hAnsi="Arial" w:cs="Arial"/>
          <w:sz w:val="24"/>
          <w:szCs w:val="24"/>
        </w:rPr>
        <w:t xml:space="preserve"> 6,000 unidades </w:t>
      </w:r>
      <w:r w:rsidR="00647448">
        <w:rPr>
          <w:rFonts w:ascii="Arial" w:eastAsia="MS Mincho" w:hAnsi="Arial" w:cs="Arial"/>
          <w:sz w:val="24"/>
          <w:szCs w:val="24"/>
        </w:rPr>
        <w:t xml:space="preserve">de vivienda </w:t>
      </w:r>
      <w:r w:rsidRPr="00856A44">
        <w:rPr>
          <w:rFonts w:ascii="Arial" w:eastAsia="MS Mincho" w:hAnsi="Arial" w:cs="Arial"/>
          <w:sz w:val="24"/>
          <w:szCs w:val="24"/>
        </w:rPr>
        <w:t xml:space="preserve">para alquiler, mediante condominios que serían administrados por las propias empresas de desarrollo. </w:t>
      </w:r>
      <w:r w:rsidR="00963B70">
        <w:rPr>
          <w:rFonts w:ascii="Arial" w:eastAsia="MS Mincho" w:hAnsi="Arial" w:cs="Arial"/>
          <w:sz w:val="24"/>
          <w:szCs w:val="24"/>
        </w:rPr>
        <w:t xml:space="preserve">A su vez, el </w:t>
      </w:r>
      <w:r w:rsidR="00963B70" w:rsidRPr="00856A44">
        <w:rPr>
          <w:rFonts w:ascii="Arial" w:eastAsia="MS Mincho" w:hAnsi="Arial" w:cs="Arial"/>
          <w:sz w:val="24"/>
          <w:szCs w:val="24"/>
        </w:rPr>
        <w:t xml:space="preserve">Departamento </w:t>
      </w:r>
      <w:r w:rsidR="00963B70">
        <w:rPr>
          <w:rFonts w:ascii="Arial" w:eastAsia="MS Mincho" w:hAnsi="Arial" w:cs="Arial"/>
          <w:sz w:val="24"/>
          <w:szCs w:val="24"/>
        </w:rPr>
        <w:t>impulsará</w:t>
      </w:r>
      <w:r w:rsidR="00963B70" w:rsidRPr="00856A44">
        <w:rPr>
          <w:rFonts w:ascii="Arial" w:eastAsia="MS Mincho" w:hAnsi="Arial" w:cs="Arial"/>
          <w:sz w:val="24"/>
          <w:szCs w:val="24"/>
        </w:rPr>
        <w:t xml:space="preserve"> </w:t>
      </w:r>
      <w:r w:rsidR="00963B70">
        <w:rPr>
          <w:rFonts w:ascii="Arial" w:eastAsia="MS Mincho" w:hAnsi="Arial" w:cs="Arial"/>
          <w:sz w:val="24"/>
          <w:szCs w:val="24"/>
        </w:rPr>
        <w:t>que el diseño arquitectónico de estos desarrollos</w:t>
      </w:r>
      <w:r w:rsidR="00963B70" w:rsidRPr="00856A44">
        <w:rPr>
          <w:rFonts w:ascii="Arial" w:eastAsia="MS Mincho" w:hAnsi="Arial" w:cs="Arial"/>
          <w:sz w:val="24"/>
          <w:szCs w:val="24"/>
        </w:rPr>
        <w:t xml:space="preserve"> </w:t>
      </w:r>
      <w:r w:rsidR="00963B70">
        <w:rPr>
          <w:rFonts w:ascii="Arial" w:eastAsia="MS Mincho" w:hAnsi="Arial" w:cs="Arial"/>
          <w:sz w:val="24"/>
          <w:szCs w:val="24"/>
        </w:rPr>
        <w:t xml:space="preserve">embellezca el barrio donde ubiquen, e </w:t>
      </w:r>
      <w:r w:rsidR="00963B70" w:rsidRPr="00856A44">
        <w:rPr>
          <w:rFonts w:ascii="Arial" w:eastAsia="MS Mincho" w:hAnsi="Arial" w:cs="Arial"/>
          <w:sz w:val="24"/>
          <w:szCs w:val="24"/>
        </w:rPr>
        <w:t>incid</w:t>
      </w:r>
      <w:r w:rsidR="00963B70">
        <w:rPr>
          <w:rFonts w:ascii="Arial" w:eastAsia="MS Mincho" w:hAnsi="Arial" w:cs="Arial"/>
          <w:sz w:val="24"/>
          <w:szCs w:val="24"/>
        </w:rPr>
        <w:t>a</w:t>
      </w:r>
      <w:r w:rsidR="00963B70" w:rsidRPr="00856A44">
        <w:rPr>
          <w:rFonts w:ascii="Arial" w:eastAsia="MS Mincho" w:hAnsi="Arial" w:cs="Arial"/>
          <w:sz w:val="24"/>
          <w:szCs w:val="24"/>
        </w:rPr>
        <w:t xml:space="preserve"> </w:t>
      </w:r>
      <w:r w:rsidR="00963B70">
        <w:rPr>
          <w:rFonts w:ascii="Arial" w:eastAsia="MS Mincho" w:hAnsi="Arial" w:cs="Arial"/>
          <w:sz w:val="24"/>
          <w:szCs w:val="24"/>
        </w:rPr>
        <w:t xml:space="preserve">favorablemente </w:t>
      </w:r>
      <w:r w:rsidR="00963B70" w:rsidRPr="00856A44">
        <w:rPr>
          <w:rFonts w:ascii="Arial" w:eastAsia="MS Mincho" w:hAnsi="Arial" w:cs="Arial"/>
          <w:sz w:val="24"/>
          <w:szCs w:val="24"/>
        </w:rPr>
        <w:t xml:space="preserve">sobre la calidad de vida </w:t>
      </w:r>
      <w:r w:rsidR="00963B70">
        <w:rPr>
          <w:rFonts w:ascii="Arial" w:eastAsia="MS Mincho" w:hAnsi="Arial" w:cs="Arial"/>
          <w:sz w:val="24"/>
          <w:szCs w:val="24"/>
        </w:rPr>
        <w:t>y</w:t>
      </w:r>
      <w:r w:rsidR="00963B70" w:rsidRPr="00856A44">
        <w:rPr>
          <w:rFonts w:ascii="Arial" w:eastAsia="MS Mincho" w:hAnsi="Arial" w:cs="Arial"/>
          <w:sz w:val="24"/>
          <w:szCs w:val="24"/>
        </w:rPr>
        <w:t xml:space="preserve"> la autoestima de sus residentes.</w:t>
      </w:r>
      <w:r w:rsidR="00963B70">
        <w:rPr>
          <w:rFonts w:ascii="Arial" w:eastAsia="MS Mincho" w:hAnsi="Arial" w:cs="Arial"/>
          <w:sz w:val="24"/>
          <w:szCs w:val="24"/>
        </w:rPr>
        <w:t xml:space="preserve"> Todo ello pudiera redundar en una inversión de cerca de $1,000 millones en infraestructura.</w:t>
      </w:r>
    </w:p>
    <w:p w:rsidR="00963B70" w:rsidRDefault="00963B70" w:rsidP="00287ADB">
      <w:pPr>
        <w:pStyle w:val="NoSpacing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963B70" w:rsidRDefault="00963B70">
      <w:pPr>
        <w:pStyle w:val="NoSpacing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Esta iniciativa se lleva a cabo a tono con la política pública sobre el desarrollo de las zonas aledañas al Tren Urbano, a propósito de estimular el uso de este modo de transporte, y revitalizar, y darle un impulso a, la economía de los centros urbanos.</w:t>
      </w:r>
      <w:r w:rsidRPr="00963B70">
        <w:rPr>
          <w:rFonts w:ascii="Arial" w:hAnsi="Arial" w:cs="Arial"/>
          <w:sz w:val="24"/>
          <w:szCs w:val="24"/>
        </w:rPr>
        <w:t xml:space="preserve"> </w:t>
      </w:r>
      <w:r w:rsidRPr="00856A44">
        <w:rPr>
          <w:rFonts w:ascii="Arial" w:hAnsi="Arial" w:cs="Arial"/>
          <w:sz w:val="24"/>
          <w:szCs w:val="24"/>
        </w:rPr>
        <w:t xml:space="preserve">Destaca entre las propiedades disponibles, la Comunidad Río Bayamón Norte, propiedad del Banco Gubernamental de Fomento </w:t>
      </w:r>
      <w:r>
        <w:rPr>
          <w:rFonts w:ascii="Arial" w:hAnsi="Arial" w:cs="Arial"/>
          <w:sz w:val="24"/>
          <w:szCs w:val="24"/>
        </w:rPr>
        <w:t>para</w:t>
      </w:r>
      <w:r w:rsidRPr="00856A44">
        <w:rPr>
          <w:rFonts w:ascii="Arial" w:hAnsi="Arial" w:cs="Arial"/>
          <w:sz w:val="24"/>
          <w:szCs w:val="24"/>
        </w:rPr>
        <w:t xml:space="preserve"> Puerto Rico (BGF), </w:t>
      </w:r>
      <w:r>
        <w:rPr>
          <w:rFonts w:ascii="Arial" w:hAnsi="Arial" w:cs="Arial"/>
          <w:sz w:val="24"/>
          <w:szCs w:val="24"/>
        </w:rPr>
        <w:t>que</w:t>
      </w:r>
      <w:r w:rsidRPr="00856A44">
        <w:rPr>
          <w:rFonts w:ascii="Arial" w:hAnsi="Arial" w:cs="Arial"/>
          <w:sz w:val="24"/>
          <w:szCs w:val="24"/>
        </w:rPr>
        <w:t xml:space="preserve"> cuenta ya con la infraestructura necesaria para comenzar la construcción de los proyectos de inmediato.</w:t>
      </w:r>
    </w:p>
    <w:p w:rsidR="00B312E9" w:rsidRPr="00856A44" w:rsidRDefault="00B312E9" w:rsidP="00287ADB">
      <w:pPr>
        <w:pStyle w:val="NoSpacing"/>
        <w:ind w:left="720"/>
        <w:jc w:val="both"/>
        <w:rPr>
          <w:rFonts w:ascii="Arial" w:eastAsia="MS Mincho" w:hAnsi="Arial" w:cs="Arial"/>
          <w:sz w:val="24"/>
          <w:szCs w:val="24"/>
        </w:rPr>
      </w:pPr>
    </w:p>
    <w:p w:rsidR="0084227D" w:rsidRPr="00856A44" w:rsidRDefault="0084227D" w:rsidP="00287AD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56A44">
        <w:rPr>
          <w:rFonts w:ascii="Arial" w:hAnsi="Arial" w:cs="Arial"/>
          <w:sz w:val="24"/>
          <w:szCs w:val="24"/>
        </w:rPr>
        <w:t xml:space="preserve">La disposición de </w:t>
      </w:r>
      <w:r w:rsidR="00963B70">
        <w:rPr>
          <w:rFonts w:ascii="Arial" w:hAnsi="Arial" w:cs="Arial"/>
          <w:sz w:val="24"/>
          <w:szCs w:val="24"/>
        </w:rPr>
        <w:t xml:space="preserve">los </w:t>
      </w:r>
      <w:r w:rsidRPr="00856A44">
        <w:rPr>
          <w:rFonts w:ascii="Arial" w:hAnsi="Arial" w:cs="Arial"/>
          <w:sz w:val="24"/>
          <w:szCs w:val="24"/>
        </w:rPr>
        <w:t xml:space="preserve">terrenos </w:t>
      </w:r>
      <w:r w:rsidR="00963B70">
        <w:rPr>
          <w:rFonts w:ascii="Arial" w:hAnsi="Arial" w:cs="Arial"/>
          <w:sz w:val="24"/>
          <w:szCs w:val="24"/>
        </w:rPr>
        <w:t xml:space="preserve">identificados en el RFP </w:t>
      </w:r>
      <w:r w:rsidRPr="00856A44">
        <w:rPr>
          <w:rFonts w:ascii="Arial" w:hAnsi="Arial" w:cs="Arial"/>
          <w:sz w:val="24"/>
          <w:szCs w:val="24"/>
        </w:rPr>
        <w:t>redundará en un ingreso proyectado para las arcas públicas que asciende a $95 millones.</w:t>
      </w:r>
    </w:p>
    <w:p w:rsidR="002F2F30" w:rsidRPr="00856A44" w:rsidRDefault="002F2F30" w:rsidP="00856A44">
      <w:pPr>
        <w:pStyle w:val="NoSpacing"/>
        <w:jc w:val="both"/>
        <w:rPr>
          <w:rFonts w:ascii="Arial" w:eastAsia="MS Mincho" w:hAnsi="Arial" w:cs="Arial"/>
          <w:sz w:val="24"/>
          <w:szCs w:val="24"/>
        </w:rPr>
      </w:pPr>
    </w:p>
    <w:p w:rsidR="007A7F40" w:rsidRPr="00287ADB" w:rsidRDefault="0084227D" w:rsidP="00856A44">
      <w:pPr>
        <w:pStyle w:val="NoSpacing"/>
        <w:jc w:val="both"/>
        <w:rPr>
          <w:rFonts w:ascii="Arial" w:eastAsia="MS Mincho" w:hAnsi="Arial" w:cs="Arial"/>
          <w:sz w:val="24"/>
          <w:szCs w:val="24"/>
          <w:u w:val="single"/>
        </w:rPr>
      </w:pPr>
      <w:r w:rsidRPr="00856A44">
        <w:rPr>
          <w:rFonts w:ascii="Arial" w:eastAsia="MS Mincho" w:hAnsi="Arial" w:cs="Arial"/>
          <w:sz w:val="24"/>
          <w:szCs w:val="24"/>
          <w:u w:val="single"/>
        </w:rPr>
        <w:t xml:space="preserve">UNIDADES OPERACIONALES DEL DEPARTAMENTO DE LA VIVIENDA: </w:t>
      </w:r>
    </w:p>
    <w:p w:rsidR="00D90E21" w:rsidRPr="00856A44" w:rsidRDefault="00612E72" w:rsidP="00612E72">
      <w:pPr>
        <w:pStyle w:val="NoSpacing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Oficinas Regionales</w:t>
      </w:r>
    </w:p>
    <w:p w:rsidR="000D331A" w:rsidRPr="00856A44" w:rsidRDefault="000D331A" w:rsidP="00856A44">
      <w:pPr>
        <w:pStyle w:val="NoSpacing"/>
        <w:jc w:val="both"/>
        <w:rPr>
          <w:rFonts w:ascii="Arial" w:eastAsia="MS Mincho" w:hAnsi="Arial" w:cs="Arial"/>
          <w:b/>
          <w:sz w:val="24"/>
          <w:szCs w:val="24"/>
        </w:rPr>
      </w:pPr>
    </w:p>
    <w:p w:rsidR="000D331A" w:rsidRPr="00856A44" w:rsidRDefault="00A24483" w:rsidP="00856A44">
      <w:pPr>
        <w:pStyle w:val="ListParagraph"/>
        <w:ind w:left="0"/>
        <w:jc w:val="both"/>
        <w:rPr>
          <w:rFonts w:ascii="Arial" w:hAnsi="Arial" w:cs="Arial"/>
        </w:rPr>
      </w:pPr>
      <w:r w:rsidRPr="00856A44">
        <w:rPr>
          <w:rFonts w:ascii="Arial" w:hAnsi="Arial" w:cs="Arial"/>
        </w:rPr>
        <w:t xml:space="preserve">El Departamento de la Vivienda cuenta con </w:t>
      </w:r>
      <w:r w:rsidR="008A12C2" w:rsidRPr="00856A44">
        <w:rPr>
          <w:rFonts w:ascii="Arial" w:hAnsi="Arial" w:cs="Arial"/>
        </w:rPr>
        <w:t>10 Oficinas Regionales</w:t>
      </w:r>
      <w:r w:rsidRPr="00856A44">
        <w:rPr>
          <w:rFonts w:ascii="Arial" w:hAnsi="Arial" w:cs="Arial"/>
        </w:rPr>
        <w:t>, donde</w:t>
      </w:r>
      <w:r w:rsidR="008A12C2" w:rsidRPr="00856A44">
        <w:rPr>
          <w:rFonts w:ascii="Arial" w:hAnsi="Arial" w:cs="Arial"/>
        </w:rPr>
        <w:t xml:space="preserve"> hemos expandido los servicios encaminados a mejorar las viviendas y la infraestructura en las doscientas cuarenta y cuatro (244) comunidades especiales asignadas al Departamento</w:t>
      </w:r>
      <w:r w:rsidR="000D331A" w:rsidRPr="00856A44">
        <w:rPr>
          <w:rFonts w:ascii="Arial" w:hAnsi="Arial" w:cs="Arial"/>
        </w:rPr>
        <w:t>, a</w:t>
      </w:r>
      <w:r w:rsidR="008A12C2" w:rsidRPr="00856A44">
        <w:rPr>
          <w:rFonts w:ascii="Arial" w:hAnsi="Arial" w:cs="Arial"/>
        </w:rPr>
        <w:t xml:space="preserve"> tenor con la Ley 271</w:t>
      </w:r>
      <w:r w:rsidR="00856A44">
        <w:rPr>
          <w:rFonts w:ascii="Arial" w:hAnsi="Arial" w:cs="Arial"/>
        </w:rPr>
        <w:t>-</w:t>
      </w:r>
      <w:r w:rsidR="008A12C2" w:rsidRPr="00856A44">
        <w:rPr>
          <w:rFonts w:ascii="Arial" w:hAnsi="Arial" w:cs="Arial"/>
        </w:rPr>
        <w:t>2002.</w:t>
      </w:r>
      <w:r w:rsidR="000D331A" w:rsidRPr="00856A44">
        <w:rPr>
          <w:rFonts w:ascii="Arial" w:hAnsi="Arial" w:cs="Arial"/>
        </w:rPr>
        <w:t xml:space="preserve"> Durante este cuatrienio</w:t>
      </w:r>
      <w:r w:rsidR="00856A44">
        <w:rPr>
          <w:rFonts w:ascii="Arial" w:hAnsi="Arial" w:cs="Arial"/>
        </w:rPr>
        <w:t>,</w:t>
      </w:r>
      <w:r w:rsidR="000D331A" w:rsidRPr="00856A44">
        <w:rPr>
          <w:rFonts w:ascii="Arial" w:hAnsi="Arial" w:cs="Arial"/>
        </w:rPr>
        <w:t xml:space="preserve"> se efectuaron 96 actividades </w:t>
      </w:r>
      <w:r w:rsidR="005314F9" w:rsidRPr="00856A44">
        <w:rPr>
          <w:rFonts w:ascii="Arial" w:hAnsi="Arial" w:cs="Arial"/>
        </w:rPr>
        <w:t xml:space="preserve">para la entrega de </w:t>
      </w:r>
      <w:r w:rsidR="000D331A" w:rsidRPr="00856A44">
        <w:rPr>
          <w:rFonts w:ascii="Arial" w:hAnsi="Arial" w:cs="Arial"/>
        </w:rPr>
        <w:t>3,566 ayudas</w:t>
      </w:r>
      <w:r w:rsidR="00856A44">
        <w:rPr>
          <w:rFonts w:ascii="Arial" w:hAnsi="Arial" w:cs="Arial"/>
        </w:rPr>
        <w:t>,</w:t>
      </w:r>
      <w:r w:rsidR="000D331A" w:rsidRPr="00856A44">
        <w:rPr>
          <w:rFonts w:ascii="Arial" w:hAnsi="Arial" w:cs="Arial"/>
        </w:rPr>
        <w:t xml:space="preserve"> equivalentes a $5.8 millones en </w:t>
      </w:r>
      <w:r w:rsidR="005314F9" w:rsidRPr="00856A44">
        <w:rPr>
          <w:rFonts w:ascii="Arial" w:hAnsi="Arial" w:cs="Arial"/>
        </w:rPr>
        <w:t>Materiales</w:t>
      </w:r>
      <w:r w:rsidR="000D331A" w:rsidRPr="00856A44">
        <w:rPr>
          <w:rFonts w:ascii="Arial" w:hAnsi="Arial" w:cs="Arial"/>
        </w:rPr>
        <w:t xml:space="preserve"> </w:t>
      </w:r>
      <w:r w:rsidR="005314F9" w:rsidRPr="00856A44">
        <w:rPr>
          <w:rFonts w:ascii="Arial" w:hAnsi="Arial" w:cs="Arial"/>
        </w:rPr>
        <w:t xml:space="preserve">y Entrega de Casas Prefabricadas. </w:t>
      </w:r>
      <w:r w:rsidR="000D331A" w:rsidRPr="00856A44">
        <w:rPr>
          <w:rFonts w:ascii="Arial" w:hAnsi="Arial" w:cs="Arial"/>
        </w:rPr>
        <w:t>Además</w:t>
      </w:r>
      <w:r w:rsidR="00856A44">
        <w:rPr>
          <w:rFonts w:ascii="Arial" w:hAnsi="Arial" w:cs="Arial"/>
        </w:rPr>
        <w:t>,</w:t>
      </w:r>
      <w:r w:rsidR="000D331A" w:rsidRPr="00856A44">
        <w:rPr>
          <w:rFonts w:ascii="Arial" w:hAnsi="Arial" w:cs="Arial"/>
        </w:rPr>
        <w:t xml:space="preserve"> se otorgaron 1,888 Títulos de Propiedad. </w:t>
      </w:r>
    </w:p>
    <w:p w:rsidR="000C330C" w:rsidRDefault="000C330C" w:rsidP="00856A44">
      <w:pPr>
        <w:pStyle w:val="ListParagraph"/>
        <w:ind w:left="0"/>
        <w:jc w:val="both"/>
        <w:rPr>
          <w:rFonts w:ascii="Arial" w:hAnsi="Arial" w:cs="Arial"/>
          <w:b/>
        </w:rPr>
      </w:pPr>
    </w:p>
    <w:p w:rsidR="005314F9" w:rsidRPr="00856A44" w:rsidRDefault="000D331A" w:rsidP="00856A44">
      <w:pPr>
        <w:pStyle w:val="ListParagraph"/>
        <w:ind w:left="0"/>
        <w:jc w:val="both"/>
        <w:rPr>
          <w:rFonts w:ascii="Arial" w:hAnsi="Arial" w:cs="Arial"/>
          <w:b/>
        </w:rPr>
      </w:pPr>
      <w:r w:rsidRPr="00856A44">
        <w:rPr>
          <w:rFonts w:ascii="Arial" w:hAnsi="Arial" w:cs="Arial"/>
          <w:b/>
        </w:rPr>
        <w:t xml:space="preserve">2. Secretaría de Planificación </w:t>
      </w:r>
    </w:p>
    <w:p w:rsidR="000C330C" w:rsidRDefault="000C330C" w:rsidP="00856A44">
      <w:pPr>
        <w:spacing w:after="0" w:line="240" w:lineRule="auto"/>
        <w:jc w:val="both"/>
      </w:pPr>
    </w:p>
    <w:p w:rsidR="000D331A" w:rsidRPr="00856A44" w:rsidRDefault="00446FF4" w:rsidP="00856A44">
      <w:pPr>
        <w:spacing w:after="0" w:line="240" w:lineRule="auto"/>
        <w:jc w:val="both"/>
      </w:pPr>
      <w:r w:rsidRPr="00856A44">
        <w:t xml:space="preserve">La Secretaría </w:t>
      </w:r>
      <w:r w:rsidR="005314F9" w:rsidRPr="00856A44">
        <w:t xml:space="preserve">de Planificación es responsable de coordinar proyectos con los programas operacionales a ser auspiciados por el </w:t>
      </w:r>
      <w:r w:rsidR="00EA2B40">
        <w:t>DV</w:t>
      </w:r>
      <w:r w:rsidR="005314F9" w:rsidRPr="00856A44">
        <w:t xml:space="preserve">. Además, </w:t>
      </w:r>
      <w:r w:rsidR="000D331A" w:rsidRPr="00856A44">
        <w:t xml:space="preserve">es responsable de analizar y emitir comentarios y ponencias </w:t>
      </w:r>
      <w:proofErr w:type="gramStart"/>
      <w:r w:rsidR="000D331A" w:rsidRPr="00856A44">
        <w:t>requeridos</w:t>
      </w:r>
      <w:proofErr w:type="gramEnd"/>
      <w:r w:rsidR="000D331A" w:rsidRPr="00856A44">
        <w:t xml:space="preserve"> por otras </w:t>
      </w:r>
      <w:r w:rsidR="00EA2B40">
        <w:t>entidades</w:t>
      </w:r>
      <w:r w:rsidR="000D331A" w:rsidRPr="00856A44">
        <w:t xml:space="preserve"> gubernamentales como la </w:t>
      </w:r>
      <w:r w:rsidR="005314F9" w:rsidRPr="00856A44">
        <w:t>Junta de Planificación</w:t>
      </w:r>
      <w:r w:rsidR="000C6234">
        <w:t xml:space="preserve"> (JP)</w:t>
      </w:r>
      <w:r w:rsidR="005314F9" w:rsidRPr="00856A44">
        <w:t>, Municipios</w:t>
      </w:r>
      <w:r w:rsidR="00EA2B40">
        <w:t xml:space="preserve"> y la</w:t>
      </w:r>
      <w:r w:rsidR="005314F9" w:rsidRPr="00856A44">
        <w:t xml:space="preserve"> Oficina de Gerencia de Permisos,</w:t>
      </w:r>
      <w:r w:rsidR="000D331A" w:rsidRPr="00856A44">
        <w:t xml:space="preserve"> sobre</w:t>
      </w:r>
      <w:r w:rsidR="005314F9" w:rsidRPr="00856A44">
        <w:t xml:space="preserve"> Planes Territoriales, Consultas de Ubicación, Enmiendas de Zonificación, Planes de Uso, Cambios de Clasificación o Calificación, entre otros.</w:t>
      </w:r>
    </w:p>
    <w:p w:rsidR="0084227D" w:rsidRPr="00856A44" w:rsidRDefault="0084227D" w:rsidP="00856A44">
      <w:pPr>
        <w:spacing w:after="0" w:line="240" w:lineRule="auto"/>
        <w:jc w:val="both"/>
        <w:rPr>
          <w:bCs/>
          <w:i/>
        </w:rPr>
      </w:pPr>
    </w:p>
    <w:p w:rsidR="000D331A" w:rsidRDefault="000D331A" w:rsidP="00856A44">
      <w:pPr>
        <w:spacing w:after="0" w:line="240" w:lineRule="auto"/>
        <w:jc w:val="both"/>
        <w:rPr>
          <w:bCs/>
          <w:i/>
        </w:rPr>
      </w:pPr>
      <w:r w:rsidRPr="00856A44">
        <w:rPr>
          <w:bCs/>
          <w:i/>
        </w:rPr>
        <w:t>Logros Alcanzados:</w:t>
      </w:r>
    </w:p>
    <w:p w:rsidR="000C330C" w:rsidRPr="00856A44" w:rsidRDefault="000C330C" w:rsidP="00856A44">
      <w:pPr>
        <w:spacing w:after="0" w:line="240" w:lineRule="auto"/>
        <w:jc w:val="both"/>
        <w:rPr>
          <w:bCs/>
          <w:i/>
        </w:rPr>
      </w:pPr>
    </w:p>
    <w:p w:rsidR="000D331A" w:rsidRDefault="000D331A" w:rsidP="00856A44">
      <w:pPr>
        <w:numPr>
          <w:ilvl w:val="0"/>
          <w:numId w:val="3"/>
        </w:numPr>
        <w:spacing w:after="0" w:line="240" w:lineRule="auto"/>
        <w:jc w:val="both"/>
      </w:pPr>
      <w:r w:rsidRPr="00856A44">
        <w:t>Preparación de planes, tales como:</w:t>
      </w:r>
    </w:p>
    <w:p w:rsidR="000C330C" w:rsidRPr="00856A44" w:rsidRDefault="000C330C" w:rsidP="000C330C">
      <w:pPr>
        <w:spacing w:after="0" w:line="240" w:lineRule="auto"/>
        <w:ind w:left="720"/>
        <w:jc w:val="both"/>
      </w:pPr>
    </w:p>
    <w:p w:rsidR="000D331A" w:rsidRPr="00440327" w:rsidRDefault="000D331A" w:rsidP="00612E72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440327">
        <w:t>State</w:t>
      </w:r>
      <w:proofErr w:type="spellEnd"/>
      <w:r w:rsidRPr="00440327">
        <w:t xml:space="preserve"> </w:t>
      </w:r>
      <w:proofErr w:type="spellStart"/>
      <w:r w:rsidRPr="00440327">
        <w:t>Housing</w:t>
      </w:r>
      <w:proofErr w:type="spellEnd"/>
      <w:r w:rsidRPr="00440327">
        <w:t xml:space="preserve"> Plan 2014-2018 </w:t>
      </w:r>
      <w:r w:rsidR="00A025C5" w:rsidRPr="00440327">
        <w:t>de la mano con</w:t>
      </w:r>
      <w:r w:rsidRPr="00440327">
        <w:t xml:space="preserve"> HUD</w:t>
      </w:r>
    </w:p>
    <w:p w:rsidR="000D331A" w:rsidRPr="00856A44" w:rsidRDefault="000D331A" w:rsidP="00A87874">
      <w:pPr>
        <w:numPr>
          <w:ilvl w:val="0"/>
          <w:numId w:val="2"/>
        </w:numPr>
        <w:spacing w:after="0" w:line="240" w:lineRule="auto"/>
        <w:jc w:val="both"/>
      </w:pPr>
      <w:r w:rsidRPr="00856A44">
        <w:t>Reestructuración del Área de Planificación</w:t>
      </w:r>
    </w:p>
    <w:p w:rsidR="000D331A" w:rsidRDefault="000D331A" w:rsidP="00A87874">
      <w:pPr>
        <w:numPr>
          <w:ilvl w:val="0"/>
          <w:numId w:val="2"/>
        </w:numPr>
        <w:spacing w:after="0" w:line="240" w:lineRule="auto"/>
        <w:jc w:val="both"/>
      </w:pPr>
      <w:r w:rsidRPr="00856A44">
        <w:lastRenderedPageBreak/>
        <w:t>Informe de Evaluación de Riesgos 2014-2015 - Oficina del Contralor para la evaluación de los Programas de Control Interno y Prevención (PROCIP)</w:t>
      </w:r>
    </w:p>
    <w:p w:rsidR="000C330C" w:rsidRPr="00856A44" w:rsidRDefault="000C330C" w:rsidP="000C330C">
      <w:pPr>
        <w:spacing w:after="0" w:line="240" w:lineRule="auto"/>
        <w:ind w:left="1080"/>
        <w:jc w:val="both"/>
      </w:pPr>
    </w:p>
    <w:p w:rsidR="000D331A" w:rsidRDefault="000D331A">
      <w:pPr>
        <w:numPr>
          <w:ilvl w:val="0"/>
          <w:numId w:val="3"/>
        </w:numPr>
        <w:spacing w:after="0" w:line="240" w:lineRule="auto"/>
        <w:jc w:val="both"/>
      </w:pPr>
      <w:r w:rsidRPr="00856A44">
        <w:t xml:space="preserve">Evaluación de Planes – Mantenemos estrecha comunicación con la </w:t>
      </w:r>
      <w:r w:rsidR="000C6234">
        <w:t>JP</w:t>
      </w:r>
      <w:r w:rsidRPr="00856A44">
        <w:t xml:space="preserve"> mediante la investigación, evaluación, recomendaciones y endoso</w:t>
      </w:r>
      <w:r w:rsidR="00680705">
        <w:t>s</w:t>
      </w:r>
      <w:r w:rsidRPr="00856A44">
        <w:t xml:space="preserve"> de Planes Territoriales, Planes Regionales o por Sector, Planes de Ensanches, Planes de Área, entre otros.</w:t>
      </w:r>
    </w:p>
    <w:p w:rsidR="000C330C" w:rsidRPr="00856A44" w:rsidRDefault="000C330C" w:rsidP="000C330C">
      <w:pPr>
        <w:spacing w:after="0" w:line="240" w:lineRule="auto"/>
        <w:ind w:left="720"/>
        <w:jc w:val="both"/>
      </w:pPr>
    </w:p>
    <w:p w:rsidR="000D331A" w:rsidRPr="00856A44" w:rsidRDefault="000D331A">
      <w:pPr>
        <w:numPr>
          <w:ilvl w:val="0"/>
          <w:numId w:val="4"/>
        </w:numPr>
        <w:spacing w:after="0" w:line="240" w:lineRule="auto"/>
        <w:jc w:val="both"/>
      </w:pPr>
      <w:r w:rsidRPr="00856A44">
        <w:t xml:space="preserve">Etapa Final del Plan Territorial del Municipio de </w:t>
      </w:r>
      <w:proofErr w:type="spellStart"/>
      <w:r w:rsidRPr="00856A44">
        <w:t>Yabucoa</w:t>
      </w:r>
      <w:proofErr w:type="spellEnd"/>
    </w:p>
    <w:p w:rsidR="000D331A" w:rsidRPr="00856A44" w:rsidRDefault="000D331A">
      <w:pPr>
        <w:numPr>
          <w:ilvl w:val="0"/>
          <w:numId w:val="4"/>
        </w:numPr>
        <w:spacing w:after="0" w:line="240" w:lineRule="auto"/>
        <w:jc w:val="both"/>
      </w:pPr>
      <w:r w:rsidRPr="00856A44">
        <w:t>Reglamento Conjunto para la Evaluación y Expedición de Permisos Relacionados al Desarrollo y Uso de Terreno</w:t>
      </w:r>
    </w:p>
    <w:p w:rsidR="000D331A" w:rsidRPr="00856A44" w:rsidRDefault="000D331A">
      <w:pPr>
        <w:numPr>
          <w:ilvl w:val="0"/>
          <w:numId w:val="4"/>
        </w:numPr>
        <w:spacing w:after="0" w:line="240" w:lineRule="auto"/>
        <w:jc w:val="both"/>
      </w:pPr>
      <w:r w:rsidRPr="00856A44">
        <w:t>Plan de Ordenación Territorial (POT) Municipio de Las Piedras</w:t>
      </w:r>
    </w:p>
    <w:p w:rsidR="000D331A" w:rsidRPr="00856A44" w:rsidRDefault="000D331A">
      <w:pPr>
        <w:numPr>
          <w:ilvl w:val="0"/>
          <w:numId w:val="4"/>
        </w:numPr>
        <w:spacing w:after="0" w:line="240" w:lineRule="auto"/>
        <w:jc w:val="both"/>
      </w:pPr>
      <w:r w:rsidRPr="00856A44">
        <w:t>Plan Estatal de Vivienda</w:t>
      </w:r>
    </w:p>
    <w:p w:rsidR="000D331A" w:rsidRDefault="000D331A">
      <w:pPr>
        <w:numPr>
          <w:ilvl w:val="0"/>
          <w:numId w:val="4"/>
        </w:numPr>
        <w:spacing w:after="0" w:line="240" w:lineRule="auto"/>
        <w:jc w:val="both"/>
      </w:pPr>
      <w:r w:rsidRPr="00856A44">
        <w:t>Plan de Uso de Terrenos de Puerto Rico</w:t>
      </w:r>
    </w:p>
    <w:p w:rsidR="000C330C" w:rsidRPr="00856A44" w:rsidRDefault="000C330C" w:rsidP="000C330C">
      <w:pPr>
        <w:spacing w:after="0" w:line="240" w:lineRule="auto"/>
        <w:ind w:left="1170"/>
        <w:jc w:val="both"/>
      </w:pPr>
    </w:p>
    <w:p w:rsidR="000D331A" w:rsidRDefault="000D331A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 w:rsidRPr="00856A44">
        <w:rPr>
          <w:rFonts w:ascii="Arial" w:hAnsi="Arial" w:cs="Arial"/>
        </w:rPr>
        <w:t>Evaluación de los cambios propuestos a los Mapas de Clasificación y C</w:t>
      </w:r>
      <w:r w:rsidR="00680705">
        <w:rPr>
          <w:rFonts w:ascii="Arial" w:hAnsi="Arial" w:cs="Arial"/>
        </w:rPr>
        <w:t>al</w:t>
      </w:r>
      <w:r w:rsidRPr="00856A44">
        <w:rPr>
          <w:rFonts w:ascii="Arial" w:hAnsi="Arial" w:cs="Arial"/>
        </w:rPr>
        <w:t xml:space="preserve">ificación de Suelos sometidos por la </w:t>
      </w:r>
      <w:r w:rsidR="000C6234">
        <w:rPr>
          <w:rFonts w:ascii="Arial" w:hAnsi="Arial" w:cs="Arial"/>
        </w:rPr>
        <w:t>JP</w:t>
      </w:r>
      <w:r w:rsidRPr="00856A44">
        <w:rPr>
          <w:rFonts w:ascii="Arial" w:hAnsi="Arial" w:cs="Arial"/>
        </w:rPr>
        <w:t xml:space="preserve"> y municipios.</w:t>
      </w:r>
    </w:p>
    <w:p w:rsidR="000C330C" w:rsidRPr="00856A44" w:rsidRDefault="000C330C" w:rsidP="000C330C">
      <w:pPr>
        <w:pStyle w:val="ListParagraph"/>
        <w:contextualSpacing w:val="0"/>
        <w:jc w:val="both"/>
        <w:rPr>
          <w:rFonts w:ascii="Arial" w:hAnsi="Arial" w:cs="Arial"/>
        </w:rPr>
      </w:pPr>
    </w:p>
    <w:p w:rsidR="000D331A" w:rsidRPr="00856A44" w:rsidRDefault="000D331A">
      <w:pPr>
        <w:numPr>
          <w:ilvl w:val="0"/>
          <w:numId w:val="5"/>
        </w:numPr>
        <w:spacing w:after="0" w:line="240" w:lineRule="auto"/>
        <w:jc w:val="both"/>
      </w:pPr>
      <w:r w:rsidRPr="00856A44">
        <w:t>Tercera Etapa (Plan Completo) Del Plan De Área Del Corredor Pr-2</w:t>
      </w:r>
    </w:p>
    <w:p w:rsidR="000D331A" w:rsidRPr="00856A44" w:rsidRDefault="000D331A">
      <w:pPr>
        <w:numPr>
          <w:ilvl w:val="0"/>
          <w:numId w:val="5"/>
        </w:numPr>
        <w:spacing w:after="0" w:line="240" w:lineRule="auto"/>
        <w:textAlignment w:val="top"/>
      </w:pPr>
      <w:r w:rsidRPr="00856A44">
        <w:t>Plan Anual 2016</w:t>
      </w:r>
    </w:p>
    <w:p w:rsidR="000D331A" w:rsidRDefault="000D331A">
      <w:pPr>
        <w:numPr>
          <w:ilvl w:val="0"/>
          <w:numId w:val="5"/>
        </w:numPr>
        <w:spacing w:after="0" w:line="240" w:lineRule="auto"/>
        <w:jc w:val="both"/>
      </w:pPr>
      <w:r w:rsidRPr="00856A44">
        <w:t>Enmienda a la hoja número 21 del mapa de calificación de suelos del Municipio Autónomo de Guaynabo</w:t>
      </w:r>
    </w:p>
    <w:p w:rsidR="000C330C" w:rsidRPr="00856A44" w:rsidRDefault="000C330C" w:rsidP="000C330C">
      <w:pPr>
        <w:spacing w:after="0" w:line="240" w:lineRule="auto"/>
        <w:ind w:left="1080"/>
        <w:jc w:val="both"/>
      </w:pPr>
    </w:p>
    <w:p w:rsidR="000D331A" w:rsidRDefault="000D331A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</w:rPr>
      </w:pPr>
      <w:r w:rsidRPr="00856A44">
        <w:rPr>
          <w:rFonts w:ascii="Arial" w:hAnsi="Arial" w:cs="Arial"/>
        </w:rPr>
        <w:t xml:space="preserve">Evaluación de documentos enviados por la </w:t>
      </w:r>
      <w:r w:rsidR="000C6234">
        <w:rPr>
          <w:rFonts w:ascii="Arial" w:hAnsi="Arial" w:cs="Arial"/>
        </w:rPr>
        <w:t>JP</w:t>
      </w:r>
      <w:r w:rsidRPr="00856A44">
        <w:rPr>
          <w:rFonts w:ascii="Arial" w:hAnsi="Arial" w:cs="Arial"/>
        </w:rPr>
        <w:t>, municipios y otras agencias.</w:t>
      </w:r>
    </w:p>
    <w:p w:rsidR="000C330C" w:rsidRPr="00856A44" w:rsidRDefault="000C330C" w:rsidP="000C330C">
      <w:pPr>
        <w:pStyle w:val="ListParagraph"/>
        <w:contextualSpacing w:val="0"/>
        <w:jc w:val="both"/>
        <w:rPr>
          <w:rFonts w:ascii="Arial" w:hAnsi="Arial" w:cs="Arial"/>
        </w:rPr>
      </w:pPr>
    </w:p>
    <w:p w:rsidR="000D331A" w:rsidRPr="00856A44" w:rsidRDefault="000D331A">
      <w:pPr>
        <w:numPr>
          <w:ilvl w:val="0"/>
          <w:numId w:val="5"/>
        </w:numPr>
        <w:spacing w:after="0" w:line="240" w:lineRule="auto"/>
        <w:jc w:val="both"/>
      </w:pPr>
      <w:r w:rsidRPr="00856A44">
        <w:t>Plan de Acción 2016</w:t>
      </w:r>
    </w:p>
    <w:p w:rsidR="000D331A" w:rsidRPr="00856A44" w:rsidRDefault="000D331A">
      <w:pPr>
        <w:numPr>
          <w:ilvl w:val="0"/>
          <w:numId w:val="5"/>
        </w:numPr>
        <w:spacing w:after="0" w:line="240" w:lineRule="auto"/>
        <w:jc w:val="both"/>
      </w:pPr>
      <w:r w:rsidRPr="00856A44">
        <w:t>Informe Sobre Derechos Humanos</w:t>
      </w:r>
    </w:p>
    <w:p w:rsidR="000D331A" w:rsidRPr="00856A44" w:rsidRDefault="000D331A">
      <w:pPr>
        <w:numPr>
          <w:ilvl w:val="0"/>
          <w:numId w:val="5"/>
        </w:numPr>
        <w:spacing w:after="0" w:line="240" w:lineRule="auto"/>
        <w:jc w:val="both"/>
      </w:pPr>
      <w:r w:rsidRPr="00856A44">
        <w:t>Intención del DRNA de Adquirir Finca Pastos Comunales y Bosque</w:t>
      </w:r>
    </w:p>
    <w:p w:rsidR="000D331A" w:rsidRPr="00856A44" w:rsidRDefault="000D331A">
      <w:pPr>
        <w:numPr>
          <w:ilvl w:val="0"/>
          <w:numId w:val="5"/>
        </w:numPr>
        <w:spacing w:after="0" w:line="240" w:lineRule="auto"/>
        <w:jc w:val="both"/>
      </w:pPr>
      <w:r w:rsidRPr="00856A44">
        <w:t>Plan de Acción 2014-2015 Humacao</w:t>
      </w:r>
    </w:p>
    <w:p w:rsidR="000D331A" w:rsidRPr="00856A44" w:rsidRDefault="000D331A">
      <w:pPr>
        <w:numPr>
          <w:ilvl w:val="0"/>
          <w:numId w:val="5"/>
        </w:numPr>
        <w:spacing w:after="0" w:line="240" w:lineRule="auto"/>
        <w:jc w:val="both"/>
      </w:pPr>
      <w:r w:rsidRPr="00856A44">
        <w:t>Plan Consolidado de Vivienda y Desarrollo Comunitario Humacao</w:t>
      </w:r>
    </w:p>
    <w:p w:rsidR="000D331A" w:rsidRPr="00856A44" w:rsidRDefault="000D331A">
      <w:pPr>
        <w:numPr>
          <w:ilvl w:val="0"/>
          <w:numId w:val="5"/>
        </w:numPr>
        <w:spacing w:after="0" w:line="240" w:lineRule="auto"/>
        <w:jc w:val="both"/>
      </w:pPr>
      <w:r w:rsidRPr="00856A44">
        <w:t>Plan de Acción Año 2016 Municipio de Cayey</w:t>
      </w:r>
    </w:p>
    <w:p w:rsidR="000D331A" w:rsidRPr="00856A44" w:rsidRDefault="000D331A">
      <w:pPr>
        <w:numPr>
          <w:ilvl w:val="0"/>
          <w:numId w:val="5"/>
        </w:numPr>
        <w:spacing w:after="0" w:line="240" w:lineRule="auto"/>
        <w:jc w:val="both"/>
      </w:pPr>
      <w:r w:rsidRPr="00856A44">
        <w:t>PR-22 corredor Hatillo-Aguadilla AC-220124</w:t>
      </w:r>
    </w:p>
    <w:p w:rsidR="000D331A" w:rsidRDefault="000D331A">
      <w:pPr>
        <w:numPr>
          <w:ilvl w:val="0"/>
          <w:numId w:val="5"/>
        </w:numPr>
        <w:spacing w:after="0" w:line="240" w:lineRule="auto"/>
        <w:jc w:val="both"/>
      </w:pPr>
      <w:r w:rsidRPr="00856A44">
        <w:t>CZ-2016-1218-040</w:t>
      </w:r>
    </w:p>
    <w:p w:rsidR="000C330C" w:rsidRPr="00856A44" w:rsidRDefault="000C330C" w:rsidP="000C330C">
      <w:pPr>
        <w:spacing w:after="0" w:line="240" w:lineRule="auto"/>
        <w:ind w:left="1080"/>
        <w:jc w:val="both"/>
      </w:pPr>
    </w:p>
    <w:p w:rsidR="000D331A" w:rsidRDefault="000D331A" w:rsidP="00440327">
      <w:pPr>
        <w:pStyle w:val="ListParagraph"/>
        <w:numPr>
          <w:ilvl w:val="0"/>
          <w:numId w:val="3"/>
        </w:numPr>
        <w:tabs>
          <w:tab w:val="left" w:pos="720"/>
        </w:tabs>
        <w:contextualSpacing w:val="0"/>
        <w:jc w:val="both"/>
        <w:rPr>
          <w:rFonts w:ascii="Arial" w:hAnsi="Arial" w:cs="Arial"/>
        </w:rPr>
      </w:pPr>
      <w:r w:rsidRPr="00856A44">
        <w:rPr>
          <w:rFonts w:ascii="Arial" w:hAnsi="Arial" w:cs="Arial"/>
        </w:rPr>
        <w:t xml:space="preserve">Análisis de las Declaraciones de Impacto Ambiental y Evaluaciones Ambientales para identificar que no afecte los proyectos o propiedades del </w:t>
      </w:r>
      <w:r w:rsidR="00680705">
        <w:rPr>
          <w:rFonts w:ascii="Arial" w:hAnsi="Arial" w:cs="Arial"/>
        </w:rPr>
        <w:t>DV</w:t>
      </w:r>
      <w:r w:rsidRPr="00856A44">
        <w:rPr>
          <w:rFonts w:ascii="Arial" w:hAnsi="Arial" w:cs="Arial"/>
        </w:rPr>
        <w:t xml:space="preserve"> ya sea en planes, diseño o construcción, y que a su vez se encuentren en armonía con la política pública de la Administración.</w:t>
      </w:r>
    </w:p>
    <w:p w:rsidR="000C330C" w:rsidRPr="00856A44" w:rsidRDefault="000C330C" w:rsidP="000C330C">
      <w:pPr>
        <w:pStyle w:val="ListParagraph"/>
        <w:tabs>
          <w:tab w:val="left" w:pos="720"/>
        </w:tabs>
        <w:contextualSpacing w:val="0"/>
        <w:jc w:val="both"/>
        <w:rPr>
          <w:rFonts w:ascii="Arial" w:hAnsi="Arial" w:cs="Arial"/>
        </w:rPr>
      </w:pPr>
    </w:p>
    <w:p w:rsidR="000D331A" w:rsidRDefault="000D331A" w:rsidP="00856A44">
      <w:pPr>
        <w:numPr>
          <w:ilvl w:val="0"/>
          <w:numId w:val="6"/>
        </w:numPr>
        <w:spacing w:after="0" w:line="240" w:lineRule="auto"/>
        <w:jc w:val="both"/>
      </w:pPr>
      <w:r w:rsidRPr="00856A44">
        <w:t>Certificación de Proyecto de Interés Social y Certificación de Exención Contributiva sobre Ingreso Derivado del Alquiler de Viviendas.</w:t>
      </w:r>
    </w:p>
    <w:p w:rsidR="000C330C" w:rsidRPr="00856A44" w:rsidRDefault="000C330C" w:rsidP="000C330C">
      <w:pPr>
        <w:spacing w:after="0" w:line="240" w:lineRule="auto"/>
        <w:ind w:left="720"/>
        <w:jc w:val="both"/>
      </w:pPr>
    </w:p>
    <w:p w:rsidR="000D331A" w:rsidRPr="00856A44" w:rsidRDefault="000D331A" w:rsidP="00856A44">
      <w:pPr>
        <w:numPr>
          <w:ilvl w:val="1"/>
          <w:numId w:val="6"/>
        </w:numPr>
        <w:spacing w:after="0" w:line="240" w:lineRule="auto"/>
        <w:ind w:left="1080"/>
        <w:jc w:val="both"/>
      </w:pPr>
      <w:r w:rsidRPr="00856A44">
        <w:t xml:space="preserve">Coordinación con el Departamento de Hacienda los cambios a la </w:t>
      </w:r>
      <w:r w:rsidR="00612E72" w:rsidRPr="00440327">
        <w:rPr>
          <w:bCs/>
        </w:rPr>
        <w:t>Ley</w:t>
      </w:r>
      <w:r w:rsidR="00612E72" w:rsidRPr="00612E72">
        <w:t> Núm. </w:t>
      </w:r>
      <w:r w:rsidR="00612E72" w:rsidRPr="00440327">
        <w:rPr>
          <w:bCs/>
        </w:rPr>
        <w:t>47</w:t>
      </w:r>
      <w:r w:rsidR="00612E72" w:rsidRPr="00612E72">
        <w:t> de 26 de Junio de </w:t>
      </w:r>
      <w:r w:rsidR="00612E72" w:rsidRPr="00440327">
        <w:rPr>
          <w:bCs/>
        </w:rPr>
        <w:t>1987</w:t>
      </w:r>
      <w:r w:rsidRPr="00856A44">
        <w:t xml:space="preserve"> y Ley 165-1996 a través de la Ley 187-2015</w:t>
      </w:r>
      <w:r w:rsidR="00612E72">
        <w:t>;</w:t>
      </w:r>
    </w:p>
    <w:p w:rsidR="000D331A" w:rsidRPr="00856A44" w:rsidRDefault="000D331A" w:rsidP="00856A44">
      <w:pPr>
        <w:numPr>
          <w:ilvl w:val="1"/>
          <w:numId w:val="6"/>
        </w:numPr>
        <w:spacing w:after="0" w:line="240" w:lineRule="auto"/>
        <w:ind w:left="1080"/>
        <w:jc w:val="both"/>
      </w:pPr>
      <w:r w:rsidRPr="00856A44">
        <w:t>Comentarios al diseño del documento Certificación de Cumplimiento con Requisitos de la Ley 165-1996 para la concesión del beneficio contributivo y cumplimiento anual</w:t>
      </w:r>
      <w:r w:rsidR="00612E72">
        <w:t>;</w:t>
      </w:r>
    </w:p>
    <w:p w:rsidR="000D331A" w:rsidRPr="00856A44" w:rsidRDefault="000D331A" w:rsidP="00856A44">
      <w:pPr>
        <w:numPr>
          <w:ilvl w:val="1"/>
          <w:numId w:val="6"/>
        </w:numPr>
        <w:spacing w:after="0" w:line="240" w:lineRule="auto"/>
        <w:ind w:left="1080"/>
        <w:jc w:val="both"/>
      </w:pPr>
      <w:r w:rsidRPr="00856A44">
        <w:t>Elaboración y diseño de hojas de cotejo para la evaluación de proyectos y peticionarios interesados en la concesión del beneficio contributivo</w:t>
      </w:r>
      <w:r w:rsidR="00612E72">
        <w:t>.</w:t>
      </w:r>
    </w:p>
    <w:p w:rsidR="000D331A" w:rsidRPr="00856A44" w:rsidRDefault="000D331A" w:rsidP="00856A44">
      <w:pPr>
        <w:spacing w:after="0" w:line="240" w:lineRule="auto"/>
        <w:jc w:val="both"/>
      </w:pPr>
    </w:p>
    <w:p w:rsidR="000C330C" w:rsidRDefault="000C330C" w:rsidP="000C330C">
      <w:pPr>
        <w:rPr>
          <w:rFonts w:eastAsia="Garamond"/>
          <w:b/>
        </w:rPr>
      </w:pPr>
    </w:p>
    <w:p w:rsidR="0084227D" w:rsidRPr="00287ADB" w:rsidRDefault="000C6234" w:rsidP="00287ADB">
      <w:pPr>
        <w:rPr>
          <w:rFonts w:eastAsia="Garamond"/>
          <w:b/>
        </w:rPr>
      </w:pPr>
      <w:r>
        <w:rPr>
          <w:rFonts w:eastAsia="Garamond"/>
          <w:b/>
        </w:rPr>
        <w:lastRenderedPageBreak/>
        <w:t xml:space="preserve">3. </w:t>
      </w:r>
      <w:r w:rsidR="0084227D" w:rsidRPr="00287ADB">
        <w:rPr>
          <w:rFonts w:eastAsia="Garamond"/>
          <w:b/>
        </w:rPr>
        <w:t xml:space="preserve">Secretaría Auxiliar de Subsidio y Desarrollo Comunitario: </w:t>
      </w:r>
    </w:p>
    <w:p w:rsidR="000C330C" w:rsidRPr="000C330C" w:rsidRDefault="0084227D" w:rsidP="00856A4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440327">
        <w:rPr>
          <w:rFonts w:ascii="Arial" w:eastAsia="Garamond" w:hAnsi="Arial" w:cs="Arial"/>
          <w:b/>
        </w:rPr>
        <w:t xml:space="preserve">Programa de Vales para la Libre Selección de Vivienda </w:t>
      </w:r>
      <w:r w:rsidRPr="00440327">
        <w:rPr>
          <w:rFonts w:ascii="Arial" w:hAnsi="Arial" w:cs="Arial"/>
          <w:b/>
        </w:rPr>
        <w:t>(Sección 8)</w:t>
      </w:r>
    </w:p>
    <w:p w:rsidR="0084227D" w:rsidRPr="00856A44" w:rsidRDefault="0084227D" w:rsidP="000C330C">
      <w:pPr>
        <w:pStyle w:val="ListParagraph"/>
        <w:ind w:left="1440"/>
        <w:rPr>
          <w:rFonts w:ascii="Arial" w:hAnsi="Arial" w:cs="Arial"/>
        </w:rPr>
      </w:pPr>
      <w:r w:rsidRPr="00856A44">
        <w:rPr>
          <w:rFonts w:ascii="Arial" w:hAnsi="Arial" w:cs="Arial"/>
        </w:rPr>
        <w:t xml:space="preserve"> </w:t>
      </w:r>
    </w:p>
    <w:p w:rsidR="0084227D" w:rsidRDefault="0084227D" w:rsidP="00287ADB">
      <w:pPr>
        <w:spacing w:after="0"/>
        <w:jc w:val="both"/>
      </w:pPr>
      <w:r w:rsidRPr="00856A44">
        <w:rPr>
          <w:rFonts w:eastAsia="Garamond"/>
          <w:b/>
        </w:rPr>
        <w:t xml:space="preserve"> </w:t>
      </w:r>
      <w:r w:rsidRPr="00856A44">
        <w:t>El programa de Sección 8 se creó bajo la Ley de Vivienda y Desarrollo Urbano</w:t>
      </w:r>
      <w:r w:rsidR="00BE5886">
        <w:t xml:space="preserve"> Federal</w:t>
      </w:r>
      <w:r w:rsidRPr="00856A44">
        <w:t xml:space="preserve"> y es supervisado por HUD. </w:t>
      </w:r>
      <w:r w:rsidR="00BE5886">
        <w:t>D</w:t>
      </w:r>
      <w:r w:rsidRPr="00856A44">
        <w:t xml:space="preserve">e los 77 </w:t>
      </w:r>
      <w:proofErr w:type="spellStart"/>
      <w:r w:rsidRPr="00440327">
        <w:rPr>
          <w:i/>
        </w:rPr>
        <w:t>Public</w:t>
      </w:r>
      <w:proofErr w:type="spellEnd"/>
      <w:r w:rsidRPr="00440327">
        <w:rPr>
          <w:i/>
        </w:rPr>
        <w:t xml:space="preserve"> </w:t>
      </w:r>
      <w:proofErr w:type="spellStart"/>
      <w:r w:rsidRPr="00440327">
        <w:rPr>
          <w:i/>
        </w:rPr>
        <w:t>Housing</w:t>
      </w:r>
      <w:proofErr w:type="spellEnd"/>
      <w:r w:rsidRPr="00440327">
        <w:rPr>
          <w:i/>
        </w:rPr>
        <w:t xml:space="preserve"> Agencies</w:t>
      </w:r>
      <w:r w:rsidRPr="00856A44">
        <w:t xml:space="preserve"> (PHA) </w:t>
      </w:r>
      <w:r w:rsidR="00BE5886">
        <w:t>en</w:t>
      </w:r>
      <w:r w:rsidRPr="00856A44">
        <w:t xml:space="preserve"> Puerto Rico</w:t>
      </w:r>
      <w:r w:rsidR="00BE5886">
        <w:t xml:space="preserve">, el DV </w:t>
      </w:r>
      <w:r w:rsidRPr="00856A44">
        <w:t>administra un total de 9,481 vales</w:t>
      </w:r>
      <w:r w:rsidR="00612E72">
        <w:t xml:space="preserve">, lo que lo hace el </w:t>
      </w:r>
      <w:r w:rsidRPr="00856A44">
        <w:t xml:space="preserve">PHA más grande de Sección 8 </w:t>
      </w:r>
      <w:r w:rsidR="00BE5886">
        <w:t>en el País</w:t>
      </w:r>
      <w:r w:rsidR="00612E72">
        <w:t xml:space="preserve">. </w:t>
      </w:r>
      <w:r w:rsidRPr="00856A44">
        <w:t xml:space="preserve">La administración del programa se distribuye entre la sede del </w:t>
      </w:r>
      <w:r w:rsidR="00BE5886">
        <w:t>DV</w:t>
      </w:r>
      <w:r w:rsidRPr="00856A44">
        <w:t xml:space="preserve"> en Río Piedras y en </w:t>
      </w:r>
      <w:r w:rsidRPr="00287ADB">
        <w:t>nueve</w:t>
      </w:r>
      <w:r w:rsidRPr="00856A44">
        <w:t xml:space="preserve"> oficinas regionales, para servir a todos los pueblos de Puerto Rico. En agosto de 2016 había 8,884 participantes activos</w:t>
      </w:r>
      <w:r w:rsidR="00856A44">
        <w:t xml:space="preserve"> </w:t>
      </w:r>
      <w:r w:rsidRPr="00856A44">
        <w:t>dentro del programa, lo que representa un 94% de la ocupación del total de vales administrados por este programa. Mientras, 482 familias cuentan con un vale y actualmente están en la búsqueda de una residencia. Conforme al análisis del programa, durante el 2016 se otorgarán</w:t>
      </w:r>
      <w:r w:rsidR="00612E72">
        <w:t xml:space="preserve">, como </w:t>
      </w:r>
      <w:r w:rsidRPr="00856A44">
        <w:t>mínimo</w:t>
      </w:r>
      <w:r w:rsidR="00612E72">
        <w:t>,</w:t>
      </w:r>
      <w:r w:rsidRPr="00856A44">
        <w:t xml:space="preserve"> 600 vales para la asistencia a la renta.</w:t>
      </w:r>
      <w:r w:rsidR="00856A44">
        <w:t xml:space="preserve"> </w:t>
      </w:r>
    </w:p>
    <w:p w:rsidR="000C330C" w:rsidRPr="00856A44" w:rsidRDefault="000C330C" w:rsidP="000C330C">
      <w:pPr>
        <w:spacing w:after="0"/>
        <w:jc w:val="both"/>
      </w:pPr>
    </w:p>
    <w:p w:rsidR="00612E72" w:rsidRDefault="0084227D">
      <w:pPr>
        <w:spacing w:after="0"/>
        <w:ind w:left="-5"/>
        <w:jc w:val="both"/>
      </w:pPr>
      <w:r w:rsidRPr="00856A44">
        <w:t>Para enero de 2013, la Lista de Espera contaba con un total de 8,979 solicitudes y para</w:t>
      </w:r>
      <w:r w:rsidR="00856A44">
        <w:t xml:space="preserve"> </w:t>
      </w:r>
      <w:r w:rsidR="00BE5886">
        <w:t>el</w:t>
      </w:r>
      <w:r w:rsidRPr="00856A44">
        <w:t xml:space="preserve"> 30 de junio de 2014, con 7,082 solicitudes. Luego de 2 años de </w:t>
      </w:r>
      <w:proofErr w:type="spellStart"/>
      <w:r w:rsidRPr="00856A44">
        <w:t>cernimiento</w:t>
      </w:r>
      <w:proofErr w:type="spellEnd"/>
      <w:r w:rsidRPr="00856A44">
        <w:t xml:space="preserve"> de la lista, en noviembre de 2015 se abrieron las Listas de Espera en 3 oficinas regionales: Ponce, Mayagüez y Aguadilla.</w:t>
      </w:r>
      <w:r w:rsidR="00856A44">
        <w:t xml:space="preserve"> </w:t>
      </w:r>
      <w:r w:rsidRPr="00856A44">
        <w:t>Cada oficina regional admitió 100 espacios</w:t>
      </w:r>
      <w:r w:rsidR="00FA4998">
        <w:t>, para un total de 300</w:t>
      </w:r>
      <w:r w:rsidRPr="00856A44">
        <w:t xml:space="preserve">. </w:t>
      </w:r>
      <w:r w:rsidRPr="00EA2B40">
        <w:rPr>
          <w:u w:val="single"/>
        </w:rPr>
        <w:t>Actualmente, a</w:t>
      </w:r>
      <w:r w:rsidR="00FA4998">
        <w:rPr>
          <w:u w:val="single"/>
        </w:rPr>
        <w:t>l mes</w:t>
      </w:r>
      <w:r w:rsidRPr="00EA2B40">
        <w:rPr>
          <w:u w:val="single"/>
        </w:rPr>
        <w:t xml:space="preserve"> de agosto de 2016, la Lista de Espera del Programa </w:t>
      </w:r>
      <w:r w:rsidR="00FA4998">
        <w:rPr>
          <w:u w:val="single"/>
        </w:rPr>
        <w:t>se compone de</w:t>
      </w:r>
      <w:r w:rsidRPr="00EA2B40">
        <w:rPr>
          <w:u w:val="single"/>
        </w:rPr>
        <w:t xml:space="preserve"> 731 solicitudes</w:t>
      </w:r>
      <w:r w:rsidRPr="00856A44">
        <w:t>.</w:t>
      </w:r>
      <w:r w:rsidR="00856A44">
        <w:t xml:space="preserve"> </w:t>
      </w:r>
      <w:r w:rsidRPr="00856A44">
        <w:t xml:space="preserve">Consecuentemente, se abrió la Lista de Espera en octubre de 2016 para admitir 1,350 solicitudes, a través del Sistema 3-1-1 y el portal pr.gov, Red </w:t>
      </w:r>
      <w:proofErr w:type="spellStart"/>
      <w:r w:rsidRPr="00856A44">
        <w:t>Estrategica</w:t>
      </w:r>
      <w:proofErr w:type="spellEnd"/>
      <w:r w:rsidRPr="00856A44">
        <w:t xml:space="preserve"> de Servicios al Ciudadano (RESC). </w:t>
      </w:r>
    </w:p>
    <w:p w:rsidR="0084227D" w:rsidRPr="00856A44" w:rsidRDefault="0084227D" w:rsidP="00856A44">
      <w:pPr>
        <w:spacing w:after="0"/>
        <w:ind w:left="-5"/>
        <w:jc w:val="both"/>
      </w:pPr>
      <w:r w:rsidRPr="00EA2B40">
        <w:rPr>
          <w:b/>
        </w:rPr>
        <w:t>Nos enorgullece informa</w:t>
      </w:r>
      <w:r w:rsidR="00FA4998">
        <w:rPr>
          <w:b/>
        </w:rPr>
        <w:t>r</w:t>
      </w:r>
      <w:r w:rsidRPr="00EA2B40">
        <w:rPr>
          <w:b/>
        </w:rPr>
        <w:t xml:space="preserve"> que, </w:t>
      </w:r>
      <w:r w:rsidR="00FA4998">
        <w:rPr>
          <w:b/>
        </w:rPr>
        <w:t>en octubre de 2016,</w:t>
      </w:r>
      <w:r w:rsidRPr="00EA2B40">
        <w:rPr>
          <w:b/>
        </w:rPr>
        <w:t xml:space="preserve"> </w:t>
      </w:r>
      <w:r w:rsidRPr="00287ADB">
        <w:rPr>
          <w:b/>
          <w:u w:val="single"/>
        </w:rPr>
        <w:t xml:space="preserve">por </w:t>
      </w:r>
      <w:r w:rsidR="00FA4998" w:rsidRPr="00E80ADA">
        <w:rPr>
          <w:b/>
          <w:u w:val="single"/>
        </w:rPr>
        <w:t>cuarto</w:t>
      </w:r>
      <w:r w:rsidRPr="00287ADB">
        <w:rPr>
          <w:b/>
          <w:u w:val="single"/>
        </w:rPr>
        <w:t xml:space="preserve"> año consecutivo</w:t>
      </w:r>
      <w:r w:rsidRPr="00440327">
        <w:rPr>
          <w:b/>
        </w:rPr>
        <w:t xml:space="preserve">, el </w:t>
      </w:r>
      <w:r w:rsidR="00FA4998">
        <w:rPr>
          <w:b/>
        </w:rPr>
        <w:t>DV</w:t>
      </w:r>
      <w:r w:rsidRPr="00440327">
        <w:rPr>
          <w:b/>
        </w:rPr>
        <w:t xml:space="preserve"> fue calificado como “High Performance” por HUD, la certificación más alta que se emite por la eficiencia en el manejo del programa</w:t>
      </w:r>
      <w:r w:rsidR="00FA4998">
        <w:rPr>
          <w:b/>
        </w:rPr>
        <w:t xml:space="preserve"> de Sección 8</w:t>
      </w:r>
      <w:r w:rsidRPr="00856A44">
        <w:t xml:space="preserve">. </w:t>
      </w:r>
    </w:p>
    <w:p w:rsidR="00612E72" w:rsidRDefault="00612E72" w:rsidP="00440327">
      <w:pPr>
        <w:pStyle w:val="ListParagraph"/>
        <w:ind w:left="1440"/>
        <w:jc w:val="both"/>
        <w:rPr>
          <w:rFonts w:ascii="Arial" w:hAnsi="Arial" w:cs="Arial"/>
        </w:rPr>
      </w:pPr>
    </w:p>
    <w:p w:rsidR="000C330C" w:rsidRDefault="0084227D" w:rsidP="00856A44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</w:rPr>
      </w:pPr>
      <w:r w:rsidRPr="00440327">
        <w:rPr>
          <w:rFonts w:ascii="Arial" w:hAnsi="Arial" w:cs="Arial"/>
          <w:b/>
        </w:rPr>
        <w:t xml:space="preserve">Continuum of </w:t>
      </w:r>
      <w:proofErr w:type="spellStart"/>
      <w:r w:rsidRPr="00440327">
        <w:rPr>
          <w:rFonts w:ascii="Arial" w:hAnsi="Arial" w:cs="Arial"/>
          <w:b/>
        </w:rPr>
        <w:t>Care</w:t>
      </w:r>
      <w:proofErr w:type="spellEnd"/>
    </w:p>
    <w:p w:rsidR="0084227D" w:rsidRPr="00440327" w:rsidRDefault="0084227D" w:rsidP="000C330C">
      <w:pPr>
        <w:pStyle w:val="ListParagraph"/>
        <w:ind w:left="1440"/>
        <w:jc w:val="both"/>
        <w:rPr>
          <w:rFonts w:ascii="Arial" w:hAnsi="Arial" w:cs="Arial"/>
          <w:b/>
        </w:rPr>
      </w:pPr>
      <w:r w:rsidRPr="00440327">
        <w:rPr>
          <w:rFonts w:ascii="Arial" w:hAnsi="Arial" w:cs="Arial"/>
          <w:b/>
        </w:rPr>
        <w:t xml:space="preserve"> </w:t>
      </w:r>
    </w:p>
    <w:p w:rsidR="0084227D" w:rsidRPr="00856A44" w:rsidRDefault="0084227D" w:rsidP="00856A44">
      <w:pPr>
        <w:spacing w:after="0"/>
        <w:ind w:left="-5" w:right="-90"/>
        <w:jc w:val="both"/>
      </w:pPr>
      <w:r w:rsidRPr="00856A44">
        <w:t xml:space="preserve">El Departamento es miembro del Continuum of </w:t>
      </w:r>
      <w:proofErr w:type="spellStart"/>
      <w:r w:rsidRPr="00856A44">
        <w:t>Care</w:t>
      </w:r>
      <w:proofErr w:type="spellEnd"/>
      <w:r w:rsidRPr="00856A44">
        <w:t xml:space="preserve"> PR-502 y a través de este programa asiste a 176 participantes, y a sus familias, en 24 municipios.</w:t>
      </w:r>
      <w:r w:rsidR="00856A44">
        <w:t xml:space="preserve"> </w:t>
      </w:r>
      <w:r w:rsidRPr="00856A44">
        <w:t xml:space="preserve">Los Continuum of </w:t>
      </w:r>
      <w:proofErr w:type="spellStart"/>
      <w:r w:rsidRPr="00856A44">
        <w:t>Care</w:t>
      </w:r>
      <w:proofErr w:type="spellEnd"/>
      <w:r w:rsidRPr="00856A44">
        <w:t xml:space="preserve"> (</w:t>
      </w:r>
      <w:proofErr w:type="spellStart"/>
      <w:r w:rsidRPr="00856A44">
        <w:t>CoC</w:t>
      </w:r>
      <w:proofErr w:type="spellEnd"/>
      <w:r w:rsidRPr="00856A44">
        <w:t>)</w:t>
      </w:r>
      <w:r w:rsidR="00856A44">
        <w:t xml:space="preserve"> </w:t>
      </w:r>
      <w:r w:rsidRPr="00856A44">
        <w:t>están compuestos por agencias gubernamentales, municipios y entidades que laboran en beneficio de la población sin hogar.</w:t>
      </w:r>
      <w:r w:rsidR="00856A44">
        <w:t xml:space="preserve"> </w:t>
      </w:r>
      <w:r w:rsidRPr="00856A44">
        <w:t xml:space="preserve">En Puerto Rico hay dos </w:t>
      </w:r>
      <w:proofErr w:type="spellStart"/>
      <w:r w:rsidRPr="00856A44">
        <w:t>CoC</w:t>
      </w:r>
      <w:proofErr w:type="spellEnd"/>
      <w:r w:rsidRPr="00856A44">
        <w:t xml:space="preserve">: </w:t>
      </w:r>
      <w:proofErr w:type="spellStart"/>
      <w:r w:rsidRPr="00856A44">
        <w:t>CoC</w:t>
      </w:r>
      <w:proofErr w:type="spellEnd"/>
      <w:r w:rsidRPr="00856A44">
        <w:t xml:space="preserve"> PR-502 y </w:t>
      </w:r>
      <w:proofErr w:type="spellStart"/>
      <w:r w:rsidRPr="00856A44">
        <w:t>CoC</w:t>
      </w:r>
      <w:proofErr w:type="spellEnd"/>
      <w:r w:rsidRPr="00856A44">
        <w:t xml:space="preserve"> PR-503.</w:t>
      </w:r>
      <w:r w:rsidR="00856A44">
        <w:t xml:space="preserve"> </w:t>
      </w:r>
      <w:r w:rsidRPr="00856A44">
        <w:t>HUD nos ha asignado la administración de 176 espacios, dentro de este programa,</w:t>
      </w:r>
      <w:r w:rsidR="00856A44">
        <w:t xml:space="preserve"> </w:t>
      </w:r>
      <w:r w:rsidRPr="00856A44">
        <w:t>que equivalen a $1</w:t>
      </w:r>
      <w:proofErr w:type="gramStart"/>
      <w:r w:rsidRPr="00856A44">
        <w:t>,053,846</w:t>
      </w:r>
      <w:proofErr w:type="gramEnd"/>
      <w:r w:rsidRPr="00856A44">
        <w:t xml:space="preserve"> para el año 2016 a 2017, para hacer posible el alquiler de techo para las personas sin hogar.</w:t>
      </w:r>
      <w:r w:rsidR="00856A44">
        <w:t xml:space="preserve"> </w:t>
      </w:r>
      <w:r w:rsidRPr="00856A44">
        <w:t>Actualmente contamos con una ocupación del 94%.</w:t>
      </w:r>
    </w:p>
    <w:p w:rsidR="0084227D" w:rsidRPr="00856A44" w:rsidRDefault="0084227D" w:rsidP="00856A44">
      <w:pPr>
        <w:spacing w:after="0"/>
        <w:ind w:left="-5" w:right="-90"/>
        <w:jc w:val="both"/>
      </w:pPr>
    </w:p>
    <w:p w:rsidR="0084227D" w:rsidRDefault="0084227D" w:rsidP="00856A44">
      <w:pPr>
        <w:pStyle w:val="ListParagraph"/>
        <w:numPr>
          <w:ilvl w:val="1"/>
          <w:numId w:val="10"/>
        </w:numPr>
        <w:ind w:right="-90"/>
        <w:jc w:val="both"/>
        <w:rPr>
          <w:rFonts w:ascii="Arial" w:hAnsi="Arial" w:cs="Arial"/>
          <w:b/>
        </w:rPr>
      </w:pPr>
      <w:r w:rsidRPr="00440327">
        <w:rPr>
          <w:rFonts w:ascii="Arial" w:hAnsi="Arial" w:cs="Arial"/>
          <w:b/>
        </w:rPr>
        <w:t>Programa de Subsidio de Arrendamiento y Mejoras a Vivienda para Personas de Edad Avanzada con Ingresos Bajos</w:t>
      </w:r>
    </w:p>
    <w:p w:rsidR="000C330C" w:rsidRPr="00440327" w:rsidRDefault="000C330C" w:rsidP="000C330C">
      <w:pPr>
        <w:pStyle w:val="ListParagraph"/>
        <w:ind w:left="1440" w:right="-90"/>
        <w:jc w:val="both"/>
        <w:rPr>
          <w:rFonts w:ascii="Arial" w:hAnsi="Arial" w:cs="Arial"/>
          <w:b/>
        </w:rPr>
      </w:pPr>
    </w:p>
    <w:p w:rsidR="0084227D" w:rsidRPr="00856A44" w:rsidRDefault="0084227D" w:rsidP="00856A44">
      <w:pPr>
        <w:spacing w:after="0"/>
        <w:ind w:left="-5" w:right="-90"/>
        <w:jc w:val="both"/>
      </w:pPr>
      <w:r w:rsidRPr="00856A44">
        <w:t>El Programa de Subsidio de Arrendamiento y Mejoras a Vivienda para Personas de Edad Avanzada con Ingresos Bajos, mejor conocido como Programa de Ley 173,</w:t>
      </w:r>
      <w:r w:rsidR="00856A44">
        <w:t xml:space="preserve"> </w:t>
      </w:r>
      <w:r w:rsidRPr="00856A44">
        <w:t>provee subsidio de renta a personas de 60 años o más. Actualmente contamos con</w:t>
      </w:r>
      <w:r w:rsidR="00856A44">
        <w:t xml:space="preserve"> </w:t>
      </w:r>
      <w:r w:rsidRPr="00856A44">
        <w:t>4,082 unidades. Este programa es estatal.</w:t>
      </w:r>
      <w:r w:rsidR="00856A44">
        <w:t xml:space="preserve"> </w:t>
      </w:r>
      <w:r w:rsidRPr="00856A44">
        <w:t>Al presente, este fondo se nutre de la aportación fija de $10 millones de dólares anuales de los recaudos de la Lotería Tradicional, además del 15% de la ganancia neta de la Lotería Electrónica, hasta un máximo de $20 millones anuales.</w:t>
      </w:r>
      <w:r w:rsidR="00856A44">
        <w:t xml:space="preserve"> </w:t>
      </w:r>
      <w:r w:rsidR="00FA4998">
        <w:t>El programa nunca ha alcanzado dicho máximo</w:t>
      </w:r>
      <w:r w:rsidRPr="00856A44">
        <w:t>.</w:t>
      </w:r>
      <w:r w:rsidR="00EA2B40">
        <w:t xml:space="preserve"> </w:t>
      </w:r>
      <w:r w:rsidRPr="00856A44">
        <w:t>El Programa aporta hasta $400 a la renta de la unidad de vivienda, bajo los proyectos contratados con el Departamento de la Vivienda. Cuando llegamos a la Agencia en el 201</w:t>
      </w:r>
      <w:r w:rsidR="00EA2B40">
        <w:t>4</w:t>
      </w:r>
      <w:r w:rsidRPr="00856A44">
        <w:t xml:space="preserve"> ya había compromisos para égidas por el Programa de Ley 173 que ascendían a unos $20 millones anuales. </w:t>
      </w:r>
    </w:p>
    <w:p w:rsidR="0084227D" w:rsidRPr="00856A44" w:rsidRDefault="0084227D" w:rsidP="00856A44">
      <w:pPr>
        <w:spacing w:after="0" w:line="240" w:lineRule="auto"/>
        <w:jc w:val="both"/>
      </w:pPr>
    </w:p>
    <w:p w:rsidR="000D331A" w:rsidRPr="00A87874" w:rsidRDefault="00EA2B40" w:rsidP="00856A44">
      <w:pPr>
        <w:spacing w:after="0" w:line="240" w:lineRule="auto"/>
        <w:jc w:val="both"/>
        <w:rPr>
          <w:b/>
        </w:rPr>
      </w:pPr>
      <w:r>
        <w:rPr>
          <w:b/>
        </w:rPr>
        <w:t>4</w:t>
      </w:r>
      <w:r w:rsidR="000D331A" w:rsidRPr="00A87874">
        <w:rPr>
          <w:b/>
        </w:rPr>
        <w:t xml:space="preserve">. </w:t>
      </w:r>
      <w:r w:rsidR="000C6234">
        <w:rPr>
          <w:b/>
        </w:rPr>
        <w:t xml:space="preserve">Secretaría de </w:t>
      </w:r>
      <w:r w:rsidR="000D331A" w:rsidRPr="00A87874">
        <w:rPr>
          <w:b/>
        </w:rPr>
        <w:t>Gerencia</w:t>
      </w:r>
    </w:p>
    <w:p w:rsidR="000D331A" w:rsidRPr="00856A44" w:rsidRDefault="000D331A" w:rsidP="00856A44">
      <w:pPr>
        <w:spacing w:after="0" w:line="240" w:lineRule="auto"/>
        <w:jc w:val="both"/>
      </w:pPr>
      <w:r w:rsidRPr="00856A44">
        <w:t xml:space="preserve"> </w:t>
      </w:r>
    </w:p>
    <w:p w:rsidR="00A05090" w:rsidRPr="00856A44" w:rsidRDefault="00A05090" w:rsidP="00856A44">
      <w:pPr>
        <w:spacing w:after="0" w:line="240" w:lineRule="auto"/>
        <w:jc w:val="both"/>
      </w:pPr>
      <w:r w:rsidRPr="00856A44">
        <w:t xml:space="preserve">Durante el cuatrienio comenzado en enero 2013 </w:t>
      </w:r>
      <w:r w:rsidR="000D331A" w:rsidRPr="00856A44">
        <w:t xml:space="preserve">hasta el </w:t>
      </w:r>
      <w:r w:rsidRPr="00856A44">
        <w:t xml:space="preserve">presente </w:t>
      </w:r>
      <w:r w:rsidR="007D30BD">
        <w:t>A</w:t>
      </w:r>
      <w:r w:rsidRPr="00856A44">
        <w:t xml:space="preserve">ño </w:t>
      </w:r>
      <w:r w:rsidR="007D30BD">
        <w:t>F</w:t>
      </w:r>
      <w:r w:rsidR="007D30BD" w:rsidRPr="00856A44">
        <w:t xml:space="preserve">iscal </w:t>
      </w:r>
      <w:r w:rsidRPr="00856A44">
        <w:t>20</w:t>
      </w:r>
      <w:r w:rsidR="007D30BD">
        <w:t>16-</w:t>
      </w:r>
      <w:r w:rsidRPr="00856A44">
        <w:t>1</w:t>
      </w:r>
      <w:r w:rsidR="000D331A" w:rsidRPr="00856A44">
        <w:t>7</w:t>
      </w:r>
      <w:r w:rsidRPr="00856A44">
        <w:t xml:space="preserve">, la gerencia del </w:t>
      </w:r>
      <w:r w:rsidR="007D30BD">
        <w:t>DV</w:t>
      </w:r>
      <w:r w:rsidRPr="00856A44">
        <w:t xml:space="preserve"> ha cumplido con las normas y procedimientos para lograr un manejo saludable y responsable de la agencia, garantizando un servicio de calidad al ciudadano.</w:t>
      </w:r>
      <w:r w:rsidR="00856A44">
        <w:t xml:space="preserve"> </w:t>
      </w:r>
      <w:r w:rsidRPr="00856A44">
        <w:t>A continuación</w:t>
      </w:r>
      <w:r w:rsidR="007D30BD">
        <w:t>,</w:t>
      </w:r>
      <w:r w:rsidRPr="00856A44">
        <w:t xml:space="preserve"> un resumen de los logros más significativos para este cuatrienio</w:t>
      </w:r>
      <w:r w:rsidR="007D30BD">
        <w:t>:</w:t>
      </w:r>
    </w:p>
    <w:p w:rsidR="00A05090" w:rsidRPr="00856A44" w:rsidRDefault="00A05090" w:rsidP="00612E72">
      <w:pPr>
        <w:spacing w:after="0" w:line="240" w:lineRule="auto"/>
        <w:jc w:val="both"/>
      </w:pPr>
    </w:p>
    <w:p w:rsidR="00A05090" w:rsidRDefault="00A05090" w:rsidP="00A87874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856A44">
        <w:rPr>
          <w:rFonts w:ascii="Arial" w:hAnsi="Arial" w:cs="Arial"/>
        </w:rPr>
        <w:t>Cumplimiento con los requisitos de la Ley Especial de Sostenibilidad Fiscal y Operacional del Gobierno del Estado Libre Asociado de Puerto Rico, Ley 66</w:t>
      </w:r>
      <w:r w:rsidR="007D30BD">
        <w:rPr>
          <w:rFonts w:ascii="Arial" w:hAnsi="Arial" w:cs="Arial"/>
        </w:rPr>
        <w:t>-</w:t>
      </w:r>
      <w:r w:rsidRPr="00856A44">
        <w:rPr>
          <w:rFonts w:ascii="Arial" w:hAnsi="Arial" w:cs="Arial"/>
        </w:rPr>
        <w:t xml:space="preserve">2014. </w:t>
      </w:r>
    </w:p>
    <w:p w:rsidR="000C330C" w:rsidRPr="00856A44" w:rsidRDefault="000C330C" w:rsidP="000C330C">
      <w:pPr>
        <w:pStyle w:val="ListParagraph"/>
        <w:jc w:val="both"/>
        <w:rPr>
          <w:rFonts w:ascii="Arial" w:hAnsi="Arial" w:cs="Arial"/>
        </w:rPr>
      </w:pPr>
    </w:p>
    <w:p w:rsidR="00A05090" w:rsidRPr="00856A44" w:rsidRDefault="00A05090" w:rsidP="00A87874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287ADB">
        <w:rPr>
          <w:rFonts w:ascii="Arial" w:hAnsi="Arial" w:cs="Arial"/>
        </w:rPr>
        <w:t>Reducción de contratación de servicios profesionales</w:t>
      </w:r>
      <w:r w:rsidR="000D331A" w:rsidRPr="00287ADB">
        <w:rPr>
          <w:rFonts w:ascii="Arial" w:hAnsi="Arial" w:cs="Arial"/>
        </w:rPr>
        <w:t xml:space="preserve"> </w:t>
      </w:r>
      <w:r w:rsidRPr="00856A44">
        <w:rPr>
          <w:rFonts w:ascii="Arial" w:hAnsi="Arial" w:cs="Arial"/>
        </w:rPr>
        <w:t xml:space="preserve">al evaluar la totalidad de los servicios profesionales y limitar dicha contratación a áreas donde existe una limitación de empleados diestros en materias especializadas y </w:t>
      </w:r>
      <w:r w:rsidR="007D30BD">
        <w:rPr>
          <w:rFonts w:ascii="Arial" w:hAnsi="Arial" w:cs="Arial"/>
        </w:rPr>
        <w:t>á</w:t>
      </w:r>
      <w:r w:rsidRPr="00856A44">
        <w:rPr>
          <w:rFonts w:ascii="Arial" w:hAnsi="Arial" w:cs="Arial"/>
        </w:rPr>
        <w:t xml:space="preserve">reas donde requiere la contratación </w:t>
      </w:r>
      <w:r w:rsidR="007D30BD">
        <w:rPr>
          <w:rFonts w:ascii="Arial" w:hAnsi="Arial" w:cs="Arial"/>
        </w:rPr>
        <w:t>e</w:t>
      </w:r>
      <w:r w:rsidRPr="00856A44">
        <w:rPr>
          <w:rFonts w:ascii="Arial" w:hAnsi="Arial" w:cs="Arial"/>
        </w:rPr>
        <w:t xml:space="preserve">xterna por la naturaleza del </w:t>
      </w:r>
      <w:r w:rsidR="007D30BD">
        <w:rPr>
          <w:rFonts w:ascii="Arial" w:hAnsi="Arial" w:cs="Arial"/>
        </w:rPr>
        <w:t>t</w:t>
      </w:r>
      <w:r w:rsidRPr="00856A44">
        <w:rPr>
          <w:rFonts w:ascii="Arial" w:hAnsi="Arial" w:cs="Arial"/>
        </w:rPr>
        <w:t>rabajo.</w:t>
      </w:r>
    </w:p>
    <w:p w:rsidR="00A05090" w:rsidRPr="00856A44" w:rsidRDefault="00A05090" w:rsidP="00A87874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287ADB">
        <w:rPr>
          <w:rFonts w:ascii="Arial" w:hAnsi="Arial" w:cs="Arial"/>
        </w:rPr>
        <w:t xml:space="preserve">Disminución </w:t>
      </w:r>
      <w:r w:rsidR="000D331A" w:rsidRPr="00287ADB">
        <w:rPr>
          <w:rFonts w:ascii="Arial" w:hAnsi="Arial" w:cs="Arial"/>
        </w:rPr>
        <w:t>de los</w:t>
      </w:r>
      <w:r w:rsidRPr="00287ADB">
        <w:rPr>
          <w:rFonts w:ascii="Arial" w:hAnsi="Arial" w:cs="Arial"/>
        </w:rPr>
        <w:t xml:space="preserve"> gastos de </w:t>
      </w:r>
      <w:r w:rsidR="00A87874" w:rsidRPr="00287ADB">
        <w:rPr>
          <w:rFonts w:ascii="Arial" w:hAnsi="Arial" w:cs="Arial"/>
        </w:rPr>
        <w:t>s</w:t>
      </w:r>
      <w:r w:rsidRPr="00287ADB">
        <w:rPr>
          <w:rFonts w:ascii="Arial" w:hAnsi="Arial" w:cs="Arial"/>
        </w:rPr>
        <w:t xml:space="preserve">ervicios </w:t>
      </w:r>
      <w:r w:rsidR="00A87874" w:rsidRPr="00287ADB">
        <w:rPr>
          <w:rFonts w:ascii="Arial" w:hAnsi="Arial" w:cs="Arial"/>
        </w:rPr>
        <w:t>c</w:t>
      </w:r>
      <w:r w:rsidRPr="00287ADB">
        <w:rPr>
          <w:rFonts w:ascii="Arial" w:hAnsi="Arial" w:cs="Arial"/>
        </w:rPr>
        <w:t>omprados</w:t>
      </w:r>
      <w:r w:rsidRPr="00856A44">
        <w:rPr>
          <w:rFonts w:ascii="Arial" w:hAnsi="Arial" w:cs="Arial"/>
        </w:rPr>
        <w:t xml:space="preserve"> y profesionales al realizar ajustes en tarifas, consolidación de servicios, eliminación de contratos, entre otros.</w:t>
      </w:r>
      <w:r w:rsidR="00856A44">
        <w:rPr>
          <w:rFonts w:ascii="Arial" w:hAnsi="Arial" w:cs="Arial"/>
        </w:rPr>
        <w:t xml:space="preserve"> </w:t>
      </w:r>
    </w:p>
    <w:p w:rsidR="00A05090" w:rsidRPr="00856A44" w:rsidRDefault="00A05090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856A44">
        <w:rPr>
          <w:rFonts w:ascii="Arial" w:hAnsi="Arial" w:cs="Arial"/>
        </w:rPr>
        <w:t xml:space="preserve">Reducción en el Gasto de Nómina de Empleados de Confianza y cumplir con el 20% solicitado en la </w:t>
      </w:r>
      <w:r w:rsidR="00A87874">
        <w:rPr>
          <w:rFonts w:ascii="Arial" w:hAnsi="Arial" w:cs="Arial"/>
        </w:rPr>
        <w:t>L</w:t>
      </w:r>
      <w:r w:rsidRPr="00856A44">
        <w:rPr>
          <w:rFonts w:ascii="Arial" w:hAnsi="Arial" w:cs="Arial"/>
        </w:rPr>
        <w:t>ey.</w:t>
      </w:r>
    </w:p>
    <w:p w:rsidR="00A05090" w:rsidRPr="00856A44" w:rsidRDefault="00A05090">
      <w:pPr>
        <w:pStyle w:val="ListParagraph"/>
        <w:numPr>
          <w:ilvl w:val="1"/>
          <w:numId w:val="7"/>
        </w:numPr>
        <w:jc w:val="both"/>
        <w:rPr>
          <w:rFonts w:ascii="Arial" w:hAnsi="Arial" w:cs="Arial"/>
        </w:rPr>
      </w:pPr>
      <w:r w:rsidRPr="00856A44">
        <w:rPr>
          <w:rFonts w:ascii="Arial" w:hAnsi="Arial" w:cs="Arial"/>
        </w:rPr>
        <w:t>Continuidad de los servicios de la agencia sin ocupar los puestos vacantes en el servicio de carrera.</w:t>
      </w:r>
    </w:p>
    <w:p w:rsidR="00A05090" w:rsidRPr="00856A44" w:rsidRDefault="00A05090">
      <w:pPr>
        <w:pStyle w:val="ListParagraph"/>
        <w:ind w:left="1440"/>
        <w:jc w:val="both"/>
        <w:rPr>
          <w:rFonts w:ascii="Arial" w:hAnsi="Arial" w:cs="Arial"/>
        </w:rPr>
      </w:pPr>
    </w:p>
    <w:p w:rsidR="00A05090" w:rsidRPr="00856A44" w:rsidRDefault="00A05090" w:rsidP="00856A44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87874">
        <w:rPr>
          <w:rFonts w:ascii="Arial" w:hAnsi="Arial" w:cs="Arial"/>
        </w:rPr>
        <w:t xml:space="preserve">Implementación de un </w:t>
      </w:r>
      <w:r w:rsidR="00A87874">
        <w:rPr>
          <w:rFonts w:ascii="Arial" w:hAnsi="Arial" w:cs="Arial"/>
        </w:rPr>
        <w:t>P</w:t>
      </w:r>
      <w:r w:rsidRPr="00A87874">
        <w:rPr>
          <w:rFonts w:ascii="Arial" w:hAnsi="Arial" w:cs="Arial"/>
        </w:rPr>
        <w:t xml:space="preserve">lan de Reducción de Consumo Energético y disposición sobre el consumo del Servicio de Acueductos y Alcantarillados. El Plan de Trabajo para el </w:t>
      </w:r>
      <w:r w:rsidR="00A87874">
        <w:rPr>
          <w:rFonts w:ascii="Arial" w:hAnsi="Arial" w:cs="Arial"/>
        </w:rPr>
        <w:t>A</w:t>
      </w:r>
      <w:r w:rsidR="00A87874" w:rsidRPr="00A87874">
        <w:rPr>
          <w:rFonts w:ascii="Arial" w:hAnsi="Arial" w:cs="Arial"/>
        </w:rPr>
        <w:t xml:space="preserve">ño </w:t>
      </w:r>
      <w:r w:rsidR="00A87874">
        <w:rPr>
          <w:rFonts w:ascii="Arial" w:hAnsi="Arial" w:cs="Arial"/>
        </w:rPr>
        <w:t>F</w:t>
      </w:r>
      <w:r w:rsidR="00A87874" w:rsidRPr="00A87874">
        <w:rPr>
          <w:rFonts w:ascii="Arial" w:hAnsi="Arial" w:cs="Arial"/>
        </w:rPr>
        <w:t xml:space="preserve">iscal </w:t>
      </w:r>
      <w:r w:rsidRPr="00A87874">
        <w:rPr>
          <w:rFonts w:ascii="Arial" w:hAnsi="Arial" w:cs="Arial"/>
        </w:rPr>
        <w:t xml:space="preserve">2016-17 incluye objetivos estratégicos </w:t>
      </w:r>
      <w:r w:rsidR="00A87874">
        <w:rPr>
          <w:rFonts w:ascii="Arial" w:hAnsi="Arial" w:cs="Arial"/>
        </w:rPr>
        <w:t>que</w:t>
      </w:r>
      <w:r w:rsidRPr="00A87874">
        <w:rPr>
          <w:rFonts w:ascii="Arial" w:hAnsi="Arial" w:cs="Arial"/>
        </w:rPr>
        <w:t xml:space="preserve"> brindan herramientas a la gerencia del </w:t>
      </w:r>
      <w:r w:rsidR="00370862">
        <w:rPr>
          <w:rFonts w:ascii="Arial" w:hAnsi="Arial" w:cs="Arial"/>
        </w:rPr>
        <w:t>DV</w:t>
      </w:r>
      <w:r w:rsidR="00370862" w:rsidRPr="00A87874">
        <w:rPr>
          <w:rFonts w:ascii="Arial" w:hAnsi="Arial" w:cs="Arial"/>
        </w:rPr>
        <w:t xml:space="preserve"> </w:t>
      </w:r>
      <w:r w:rsidR="00370862">
        <w:rPr>
          <w:rFonts w:ascii="Arial" w:hAnsi="Arial" w:cs="Arial"/>
        </w:rPr>
        <w:t>para cumplir efectivamente con</w:t>
      </w:r>
      <w:r w:rsidRPr="00A87874">
        <w:rPr>
          <w:rFonts w:ascii="Arial" w:hAnsi="Arial" w:cs="Arial"/>
        </w:rPr>
        <w:t xml:space="preserve"> los compromisos programáticos y fiscales de la</w:t>
      </w:r>
      <w:r w:rsidR="00370862">
        <w:rPr>
          <w:rFonts w:ascii="Arial" w:hAnsi="Arial" w:cs="Arial"/>
        </w:rPr>
        <w:t xml:space="preserve"> agencia y</w:t>
      </w:r>
      <w:r w:rsidR="00A87874">
        <w:rPr>
          <w:rFonts w:ascii="Arial" w:hAnsi="Arial" w:cs="Arial"/>
        </w:rPr>
        <w:t xml:space="preserve"> a propósito</w:t>
      </w:r>
      <w:r w:rsidRPr="00A87874">
        <w:rPr>
          <w:rFonts w:ascii="Arial" w:hAnsi="Arial" w:cs="Arial"/>
        </w:rPr>
        <w:t xml:space="preserve"> de mantener una sana administración de los fondos y activos adscritos a</w:t>
      </w:r>
      <w:r w:rsidR="00370862">
        <w:rPr>
          <w:rFonts w:ascii="Arial" w:hAnsi="Arial" w:cs="Arial"/>
        </w:rPr>
        <w:t xml:space="preserve"> la misma</w:t>
      </w:r>
      <w:r w:rsidRPr="00A87874">
        <w:rPr>
          <w:rFonts w:ascii="Arial" w:hAnsi="Arial" w:cs="Arial"/>
        </w:rPr>
        <w:t>. La Secretaría mantiene el enfoque de maximizar los recursos de la agencia</w:t>
      </w:r>
      <w:r w:rsidR="000C6234">
        <w:rPr>
          <w:rFonts w:ascii="Arial" w:hAnsi="Arial" w:cs="Arial"/>
        </w:rPr>
        <w:t xml:space="preserve"> y</w:t>
      </w:r>
      <w:r w:rsidRPr="00A87874">
        <w:rPr>
          <w:rFonts w:ascii="Arial" w:hAnsi="Arial" w:cs="Arial"/>
        </w:rPr>
        <w:t xml:space="preserve"> garantizar la continuidad de los servicios de calidad a los ciudadanos.</w:t>
      </w:r>
    </w:p>
    <w:p w:rsidR="00446FF4" w:rsidRPr="00856A44" w:rsidRDefault="000D331A" w:rsidP="00856A44">
      <w:pPr>
        <w:pStyle w:val="ListParagraph"/>
        <w:ind w:hanging="720"/>
        <w:rPr>
          <w:rFonts w:ascii="Arial" w:hAnsi="Arial" w:cs="Arial"/>
          <w:b/>
          <w:color w:val="000000"/>
        </w:rPr>
      </w:pPr>
      <w:r w:rsidRPr="00856A44">
        <w:rPr>
          <w:rFonts w:ascii="Arial" w:hAnsi="Arial" w:cs="Arial"/>
          <w:b/>
          <w:color w:val="000000"/>
        </w:rPr>
        <w:t xml:space="preserve">4. </w:t>
      </w:r>
      <w:r w:rsidR="00A87874">
        <w:rPr>
          <w:rFonts w:ascii="Arial" w:hAnsi="Arial" w:cs="Arial"/>
          <w:b/>
          <w:color w:val="000000"/>
        </w:rPr>
        <w:t>Oficina de Estadísticas</w:t>
      </w:r>
    </w:p>
    <w:p w:rsidR="00446FF4" w:rsidRPr="00856A44" w:rsidRDefault="00446FF4" w:rsidP="00856A44">
      <w:pPr>
        <w:pStyle w:val="ListParagraph"/>
        <w:rPr>
          <w:rFonts w:ascii="Arial" w:hAnsi="Arial" w:cs="Arial"/>
          <w:b/>
          <w:color w:val="000000"/>
        </w:rPr>
      </w:pPr>
    </w:p>
    <w:p w:rsidR="00A24483" w:rsidRPr="00856A44" w:rsidRDefault="00446FF4" w:rsidP="00287ADB">
      <w:pPr>
        <w:pStyle w:val="ListParagraph"/>
        <w:ind w:left="0"/>
        <w:jc w:val="both"/>
      </w:pPr>
      <w:r w:rsidRPr="00856A44">
        <w:rPr>
          <w:rFonts w:ascii="Arial" w:hAnsi="Arial" w:cs="Arial"/>
        </w:rPr>
        <w:t>Esta Oficina maneja toda la representación de datos mediante informes, gráficas y análisis comparativos de los mismos.</w:t>
      </w:r>
      <w:r w:rsidR="00856A44">
        <w:rPr>
          <w:rFonts w:ascii="Arial" w:hAnsi="Arial" w:cs="Arial"/>
        </w:rPr>
        <w:t xml:space="preserve"> </w:t>
      </w:r>
      <w:r w:rsidRPr="00856A44">
        <w:rPr>
          <w:rFonts w:ascii="Arial" w:hAnsi="Arial" w:cs="Arial"/>
        </w:rPr>
        <w:t>Es responsable de informar, educar, asesorar y sugerir mediante datos medibles y de alta calidad, los logros del Departamento y la medición del alcance de metas establecidas por el Secretario.</w:t>
      </w:r>
      <w:r w:rsidR="00856A44">
        <w:rPr>
          <w:rFonts w:ascii="Arial" w:hAnsi="Arial" w:cs="Arial"/>
        </w:rPr>
        <w:t xml:space="preserve"> </w:t>
      </w:r>
      <w:r w:rsidRPr="00856A44">
        <w:rPr>
          <w:rFonts w:ascii="Arial" w:hAnsi="Arial" w:cs="Arial"/>
        </w:rPr>
        <w:t>En esta Oficina se coordina todo lo relacionado a informes de obra mensuales, por municipio, etapa e inversión.</w:t>
      </w:r>
      <w:r w:rsidR="00856A44">
        <w:rPr>
          <w:rFonts w:ascii="Arial" w:hAnsi="Arial" w:cs="Arial"/>
        </w:rPr>
        <w:t xml:space="preserve"> </w:t>
      </w:r>
      <w:r w:rsidRPr="00856A44">
        <w:rPr>
          <w:rFonts w:ascii="Arial" w:hAnsi="Arial" w:cs="Arial"/>
        </w:rPr>
        <w:t>Coordina, planifica y desarrolla, junto al Instituto de Estadísticas de Puerto Rico, la publicación de estadísticas de vivienda de interés social (nueva construcción y rehabilitación), demanda de vivienda y actualiza el déficit de unidades de vivienda para Puerto Rico.</w:t>
      </w:r>
    </w:p>
    <w:sectPr w:rsidR="00A24483" w:rsidRPr="00856A44" w:rsidSect="000C330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9E" w:rsidRDefault="00D0769E" w:rsidP="008A12C2">
      <w:pPr>
        <w:spacing w:after="0" w:line="240" w:lineRule="auto"/>
      </w:pPr>
      <w:r>
        <w:separator/>
      </w:r>
    </w:p>
  </w:endnote>
  <w:endnote w:type="continuationSeparator" w:id="0">
    <w:p w:rsidR="00D0769E" w:rsidRDefault="00D0769E" w:rsidP="008A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864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F30" w:rsidRDefault="002F2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0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F30" w:rsidRDefault="002F2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9E" w:rsidRDefault="00D0769E" w:rsidP="008A12C2">
      <w:pPr>
        <w:spacing w:after="0" w:line="240" w:lineRule="auto"/>
      </w:pPr>
      <w:r>
        <w:separator/>
      </w:r>
    </w:p>
  </w:footnote>
  <w:footnote w:type="continuationSeparator" w:id="0">
    <w:p w:rsidR="00D0769E" w:rsidRDefault="00D0769E" w:rsidP="008A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E93"/>
    <w:multiLevelType w:val="hybridMultilevel"/>
    <w:tmpl w:val="B3C0825C"/>
    <w:lvl w:ilvl="0" w:tplc="500A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46C0940"/>
    <w:multiLevelType w:val="hybridMultilevel"/>
    <w:tmpl w:val="D024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182B2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1968"/>
    <w:multiLevelType w:val="hybridMultilevel"/>
    <w:tmpl w:val="AFD069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449F6"/>
    <w:multiLevelType w:val="hybridMultilevel"/>
    <w:tmpl w:val="378C73D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A065332"/>
    <w:multiLevelType w:val="hybridMultilevel"/>
    <w:tmpl w:val="B90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07B52"/>
    <w:multiLevelType w:val="hybridMultilevel"/>
    <w:tmpl w:val="8126F8C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140F6"/>
    <w:multiLevelType w:val="hybridMultilevel"/>
    <w:tmpl w:val="9708A6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9B740A"/>
    <w:multiLevelType w:val="hybridMultilevel"/>
    <w:tmpl w:val="F842C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0F13"/>
    <w:multiLevelType w:val="hybridMultilevel"/>
    <w:tmpl w:val="E842E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06CD2"/>
    <w:multiLevelType w:val="hybridMultilevel"/>
    <w:tmpl w:val="FD10FB84"/>
    <w:lvl w:ilvl="0" w:tplc="AF22492C">
      <w:start w:val="1"/>
      <w:numFmt w:val="bullet"/>
      <w:lvlText w:val="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2F4B0">
      <w:start w:val="1"/>
      <w:numFmt w:val="bullet"/>
      <w:lvlText w:val="o"/>
      <w:lvlJc w:val="left"/>
      <w:pPr>
        <w:ind w:left="2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E6774">
      <w:start w:val="1"/>
      <w:numFmt w:val="bullet"/>
      <w:lvlText w:val="▪"/>
      <w:lvlJc w:val="left"/>
      <w:pPr>
        <w:ind w:left="2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46B4">
      <w:start w:val="1"/>
      <w:numFmt w:val="bullet"/>
      <w:lvlText w:val="•"/>
      <w:lvlJc w:val="left"/>
      <w:pPr>
        <w:ind w:left="3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4B2A0">
      <w:start w:val="1"/>
      <w:numFmt w:val="bullet"/>
      <w:lvlText w:val="o"/>
      <w:lvlJc w:val="left"/>
      <w:pPr>
        <w:ind w:left="4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8FAF0">
      <w:start w:val="1"/>
      <w:numFmt w:val="bullet"/>
      <w:lvlText w:val="▪"/>
      <w:lvlJc w:val="left"/>
      <w:pPr>
        <w:ind w:left="4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E3584">
      <w:start w:val="1"/>
      <w:numFmt w:val="bullet"/>
      <w:lvlText w:val="•"/>
      <w:lvlJc w:val="left"/>
      <w:pPr>
        <w:ind w:left="5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62B8A">
      <w:start w:val="1"/>
      <w:numFmt w:val="bullet"/>
      <w:lvlText w:val="o"/>
      <w:lvlJc w:val="left"/>
      <w:pPr>
        <w:ind w:left="6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6BA70">
      <w:start w:val="1"/>
      <w:numFmt w:val="bullet"/>
      <w:lvlText w:val="▪"/>
      <w:lvlJc w:val="left"/>
      <w:pPr>
        <w:ind w:left="7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o A. Morales Roman">
    <w15:presenceInfo w15:providerId="AD" w15:userId="S-1-5-21-44243306-1550395337-775698607-25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04"/>
    <w:rsid w:val="00095A98"/>
    <w:rsid w:val="000C330C"/>
    <w:rsid w:val="000C6234"/>
    <w:rsid w:val="000D331A"/>
    <w:rsid w:val="00230DC1"/>
    <w:rsid w:val="00287ADB"/>
    <w:rsid w:val="002F2F30"/>
    <w:rsid w:val="003132B7"/>
    <w:rsid w:val="00370862"/>
    <w:rsid w:val="00382152"/>
    <w:rsid w:val="00440327"/>
    <w:rsid w:val="00446FF4"/>
    <w:rsid w:val="00456038"/>
    <w:rsid w:val="00504249"/>
    <w:rsid w:val="0051440E"/>
    <w:rsid w:val="005314F9"/>
    <w:rsid w:val="00537BB8"/>
    <w:rsid w:val="005C0459"/>
    <w:rsid w:val="005F5D24"/>
    <w:rsid w:val="00612E72"/>
    <w:rsid w:val="00647448"/>
    <w:rsid w:val="006714B4"/>
    <w:rsid w:val="00680705"/>
    <w:rsid w:val="006A14CB"/>
    <w:rsid w:val="007234DF"/>
    <w:rsid w:val="00736721"/>
    <w:rsid w:val="00737C04"/>
    <w:rsid w:val="00744ED1"/>
    <w:rsid w:val="007856B0"/>
    <w:rsid w:val="007A7F40"/>
    <w:rsid w:val="007B7AAF"/>
    <w:rsid w:val="007D30BD"/>
    <w:rsid w:val="0084227D"/>
    <w:rsid w:val="00856A44"/>
    <w:rsid w:val="008A12C2"/>
    <w:rsid w:val="008C7241"/>
    <w:rsid w:val="00914B2D"/>
    <w:rsid w:val="00963B70"/>
    <w:rsid w:val="00975861"/>
    <w:rsid w:val="00A025C5"/>
    <w:rsid w:val="00A05090"/>
    <w:rsid w:val="00A24483"/>
    <w:rsid w:val="00A51AED"/>
    <w:rsid w:val="00A87874"/>
    <w:rsid w:val="00AA4988"/>
    <w:rsid w:val="00AB72BF"/>
    <w:rsid w:val="00B312E9"/>
    <w:rsid w:val="00BE55B6"/>
    <w:rsid w:val="00BE5886"/>
    <w:rsid w:val="00C0394F"/>
    <w:rsid w:val="00C14B9E"/>
    <w:rsid w:val="00CC5462"/>
    <w:rsid w:val="00CD284B"/>
    <w:rsid w:val="00D0769E"/>
    <w:rsid w:val="00D53F9E"/>
    <w:rsid w:val="00D7162E"/>
    <w:rsid w:val="00D90E21"/>
    <w:rsid w:val="00E80ADA"/>
    <w:rsid w:val="00EA2B40"/>
    <w:rsid w:val="00F02F4B"/>
    <w:rsid w:val="00F11B76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D284B"/>
    <w:pPr>
      <w:keepNext/>
      <w:keepLines/>
      <w:spacing w:after="0"/>
      <w:ind w:left="65" w:hanging="10"/>
      <w:jc w:val="center"/>
      <w:outlineLvl w:val="0"/>
    </w:pPr>
    <w:rPr>
      <w:rFonts w:ascii="Garamond" w:eastAsia="Garamond" w:hAnsi="Garamond" w:cs="Garamond"/>
      <w:b/>
      <w:color w:val="000000"/>
      <w:sz w:val="40"/>
      <w:szCs w:val="22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C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A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C2"/>
  </w:style>
  <w:style w:type="paragraph" w:styleId="Footer">
    <w:name w:val="footer"/>
    <w:basedOn w:val="Normal"/>
    <w:link w:val="FooterChar"/>
    <w:uiPriority w:val="99"/>
    <w:unhideWhenUsed/>
    <w:rsid w:val="008A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C2"/>
  </w:style>
  <w:style w:type="paragraph" w:styleId="NoSpacing">
    <w:name w:val="No Spacing"/>
    <w:link w:val="NoSpacingChar"/>
    <w:uiPriority w:val="1"/>
    <w:qFormat/>
    <w:rsid w:val="00446FF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446FF4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D284B"/>
    <w:rPr>
      <w:rFonts w:ascii="Garamond" w:eastAsia="Garamond" w:hAnsi="Garamond" w:cs="Garamond"/>
      <w:b/>
      <w:color w:val="000000"/>
      <w:sz w:val="40"/>
      <w:szCs w:val="22"/>
      <w:lang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4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2F3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87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CD284B"/>
    <w:pPr>
      <w:keepNext/>
      <w:keepLines/>
      <w:spacing w:after="0"/>
      <w:ind w:left="65" w:hanging="10"/>
      <w:jc w:val="center"/>
      <w:outlineLvl w:val="0"/>
    </w:pPr>
    <w:rPr>
      <w:rFonts w:ascii="Garamond" w:eastAsia="Garamond" w:hAnsi="Garamond" w:cs="Garamond"/>
      <w:b/>
      <w:color w:val="000000"/>
      <w:sz w:val="40"/>
      <w:szCs w:val="22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C2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A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C2"/>
  </w:style>
  <w:style w:type="paragraph" w:styleId="Footer">
    <w:name w:val="footer"/>
    <w:basedOn w:val="Normal"/>
    <w:link w:val="FooterChar"/>
    <w:uiPriority w:val="99"/>
    <w:unhideWhenUsed/>
    <w:rsid w:val="008A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C2"/>
  </w:style>
  <w:style w:type="paragraph" w:styleId="NoSpacing">
    <w:name w:val="No Spacing"/>
    <w:link w:val="NoSpacingChar"/>
    <w:uiPriority w:val="1"/>
    <w:qFormat/>
    <w:rsid w:val="00446FF4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446FF4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D284B"/>
    <w:rPr>
      <w:rFonts w:ascii="Garamond" w:eastAsia="Garamond" w:hAnsi="Garamond" w:cs="Garamond"/>
      <w:b/>
      <w:color w:val="000000"/>
      <w:sz w:val="40"/>
      <w:szCs w:val="22"/>
      <w:lang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4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F2F3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87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E62E92A3F03479AC896DBAF7F62FF" ma:contentTypeVersion="0" ma:contentTypeDescription="Create a new document." ma:contentTypeScope="" ma:versionID="80529ae073e95422d94247d18d2aa6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FE302E-9792-4A2B-9A45-AC49CB109234}"/>
</file>

<file path=customXml/itemProps2.xml><?xml version="1.0" encoding="utf-8"?>
<ds:datastoreItem xmlns:ds="http://schemas.openxmlformats.org/officeDocument/2006/customXml" ds:itemID="{DF2CA8FD-9F61-498F-90F5-9D3072202446}"/>
</file>

<file path=customXml/itemProps3.xml><?xml version="1.0" encoding="utf-8"?>
<ds:datastoreItem xmlns:ds="http://schemas.openxmlformats.org/officeDocument/2006/customXml" ds:itemID="{A1F3A08F-C74B-420A-81E7-A358B82658D4}"/>
</file>

<file path=customXml/itemProps4.xml><?xml version="1.0" encoding="utf-8"?>
<ds:datastoreItem xmlns:ds="http://schemas.openxmlformats.org/officeDocument/2006/customXml" ds:itemID="{3A320401-216C-4656-AE50-8923C938D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M. Rodriguez Rivera</dc:creator>
  <cp:lastModifiedBy>Amaury</cp:lastModifiedBy>
  <cp:revision>5</cp:revision>
  <dcterms:created xsi:type="dcterms:W3CDTF">2016-10-31T23:30:00Z</dcterms:created>
  <dcterms:modified xsi:type="dcterms:W3CDTF">2016-10-31T23:37:00Z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0x01010024AE62E92A3F03479AC896DBAF7F62FF</vt:lpwstr>
  </property>
</Properties>
</file>